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AB" w:rsidRDefault="00541EAB" w:rsidP="00541EAB">
      <w:pPr>
        <w:pStyle w:val="a4"/>
        <w:ind w:firstLine="709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541EAB" w:rsidRDefault="00541EAB" w:rsidP="00541EAB">
      <w:pPr>
        <w:pStyle w:val="a4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541EAB" w:rsidRPr="0027439A" w:rsidRDefault="00541EAB" w:rsidP="00541E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39A">
        <w:rPr>
          <w:rFonts w:ascii="Times New Roman" w:hAnsi="Times New Roman" w:cs="Times New Roman"/>
          <w:sz w:val="24"/>
          <w:szCs w:val="24"/>
        </w:rPr>
        <w:t>от «10» августа 2</w:t>
      </w:r>
      <w:r>
        <w:rPr>
          <w:rFonts w:ascii="Times New Roman" w:hAnsi="Times New Roman" w:cs="Times New Roman"/>
          <w:sz w:val="24"/>
          <w:szCs w:val="24"/>
        </w:rPr>
        <w:t>021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3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43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№ 107</w:t>
      </w:r>
    </w:p>
    <w:p w:rsidR="00541EAB" w:rsidRDefault="00541EAB" w:rsidP="00541E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1EAB" w:rsidRDefault="00541EAB" w:rsidP="00541E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1EAB" w:rsidRPr="00713CE5" w:rsidRDefault="00541EAB" w:rsidP="00541E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CE5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</w:t>
      </w:r>
    </w:p>
    <w:p w:rsidR="00541EAB" w:rsidRPr="00713CE5" w:rsidRDefault="00541EAB" w:rsidP="00541E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приказ комитета финансов города Курска  от 28.12.2020 года № 131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713CE5">
        <w:rPr>
          <w:rFonts w:ascii="Times New Roman" w:hAnsi="Times New Roman" w:cs="Times New Roman"/>
          <w:b/>
          <w:color w:val="000000"/>
          <w:sz w:val="24"/>
          <w:szCs w:val="24"/>
        </w:rPr>
        <w:t>« Об утверждении учетной политики для целей бюджетного учета</w:t>
      </w:r>
    </w:p>
    <w:p w:rsidR="00541EAB" w:rsidRPr="00713CE5" w:rsidRDefault="00541EAB" w:rsidP="00541E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CE5">
        <w:rPr>
          <w:rFonts w:ascii="Times New Roman" w:hAnsi="Times New Roman" w:cs="Times New Roman"/>
          <w:b/>
          <w:color w:val="000000"/>
          <w:sz w:val="24"/>
          <w:szCs w:val="24"/>
        </w:rPr>
        <w:t>комитета финансов города Курска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41EAB" w:rsidRDefault="00541EAB" w:rsidP="00541EA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EAB" w:rsidRPr="00713CE5" w:rsidRDefault="00541EAB" w:rsidP="00541EA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EAB" w:rsidRPr="00713CE5" w:rsidRDefault="00541EAB" w:rsidP="00541EAB">
      <w:pPr>
        <w:spacing w:after="0"/>
        <w:ind w:right="-1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3CE5">
        <w:rPr>
          <w:rFonts w:ascii="Times New Roman" w:hAnsi="Times New Roman" w:cs="Times New Roman"/>
          <w:color w:val="000000"/>
          <w:sz w:val="24"/>
          <w:szCs w:val="24"/>
        </w:rPr>
        <w:t>В связи с вступлением 1 января 2021 года в силу федерального стандарта  бухгалтерского учета для организации государственного сектора,  утвержденных  приказами Минфина от 15.11.2019 № 181н « Нематериальные активы», пунктом 301 к приказу Минфина России от 01.12.2010 г. № 157н «Об утверждении Единого плана счетов бухгалтерского учета 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713CE5">
        <w:rPr>
          <w:rFonts w:ascii="Times New Roman" w:hAnsi="Times New Roman" w:cs="Times New Roman"/>
          <w:color w:val="000000"/>
          <w:sz w:val="24"/>
          <w:szCs w:val="24"/>
        </w:rPr>
        <w:t>, государственных (муниципальных)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 и Инструкции по их применению</w:t>
      </w:r>
    </w:p>
    <w:p w:rsidR="00541EAB" w:rsidRDefault="00541EAB" w:rsidP="00541E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40CB2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CB2">
        <w:rPr>
          <w:rFonts w:ascii="Times New Roman" w:hAnsi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CB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CB2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CB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CB2"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CB2">
        <w:rPr>
          <w:rFonts w:ascii="Times New Roman" w:hAnsi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CB2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CB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0CB2">
        <w:rPr>
          <w:rFonts w:ascii="Times New Roman" w:hAnsi="Times New Roman"/>
          <w:b/>
          <w:sz w:val="24"/>
          <w:szCs w:val="24"/>
        </w:rPr>
        <w:t>ю</w:t>
      </w:r>
      <w:r w:rsidRPr="0048580B">
        <w:rPr>
          <w:rFonts w:ascii="Times New Roman" w:hAnsi="Times New Roman"/>
          <w:sz w:val="24"/>
          <w:szCs w:val="24"/>
        </w:rPr>
        <w:t>:</w:t>
      </w:r>
    </w:p>
    <w:p w:rsidR="00541EAB" w:rsidRPr="0048580B" w:rsidRDefault="00541EAB" w:rsidP="00541E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1EAB" w:rsidRPr="00713CE5" w:rsidRDefault="00541EAB" w:rsidP="0054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CE5">
        <w:rPr>
          <w:rFonts w:ascii="Times New Roman" w:hAnsi="Times New Roman" w:cs="Times New Roman"/>
          <w:color w:val="000000"/>
          <w:sz w:val="24"/>
          <w:szCs w:val="24"/>
        </w:rPr>
        <w:t>1.Внести в приказ комитета финансов города Курска от 28.12.2020 года № 131 «Об утверждении учетной политики для целей бюджетного учета комитета финансов города Курска»   изменения согласно Приложению к настоящему приказу.</w:t>
      </w:r>
    </w:p>
    <w:p w:rsidR="00541EAB" w:rsidRPr="00713CE5" w:rsidRDefault="00541EAB" w:rsidP="0054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CE5">
        <w:rPr>
          <w:rFonts w:ascii="Times New Roman" w:hAnsi="Times New Roman" w:cs="Times New Roman"/>
          <w:color w:val="000000"/>
          <w:sz w:val="24"/>
          <w:szCs w:val="24"/>
        </w:rPr>
        <w:t xml:space="preserve">2.Приказ вступает в силу  со дня его подписания и распространяет действие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13CE5">
        <w:rPr>
          <w:rFonts w:ascii="Times New Roman" w:hAnsi="Times New Roman" w:cs="Times New Roman"/>
          <w:color w:val="000000"/>
          <w:sz w:val="24"/>
          <w:szCs w:val="24"/>
        </w:rPr>
        <w:t>с 1 января 2021 года.</w:t>
      </w:r>
    </w:p>
    <w:p w:rsidR="00541EAB" w:rsidRPr="00713CE5" w:rsidRDefault="00541EAB" w:rsidP="0054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CE5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713CE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13CE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 возложить на начальника отдела учета и отчетности комитета финансов города Курска Шаталову Н.В..</w:t>
      </w:r>
    </w:p>
    <w:p w:rsidR="00541EAB" w:rsidRPr="00713CE5" w:rsidRDefault="00541EAB" w:rsidP="00541E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EAB" w:rsidRPr="00713CE5" w:rsidRDefault="00541EAB" w:rsidP="00541E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EAB" w:rsidRPr="00060721" w:rsidRDefault="00541EAB" w:rsidP="00541EAB">
      <w:pPr>
        <w:pStyle w:val="a4"/>
        <w:rPr>
          <w:rFonts w:ascii="Times New Roman" w:hAnsi="Times New Roman" w:cs="Times New Roman"/>
          <w:sz w:val="28"/>
          <w:szCs w:val="28"/>
        </w:rPr>
      </w:pPr>
      <w:r w:rsidRPr="00060721"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0721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060721">
        <w:rPr>
          <w:rFonts w:ascii="Times New Roman" w:hAnsi="Times New Roman" w:cs="Times New Roman"/>
          <w:sz w:val="24"/>
          <w:szCs w:val="24"/>
        </w:rPr>
        <w:t>Стекачев</w:t>
      </w:r>
      <w:proofErr w:type="spellEnd"/>
    </w:p>
    <w:p w:rsidR="00541EAB" w:rsidRDefault="00541EAB" w:rsidP="00541E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Layout w:type="fixed"/>
        <w:tblLook w:val="04A0"/>
      </w:tblPr>
      <w:tblGrid>
        <w:gridCol w:w="3510"/>
        <w:gridCol w:w="3510"/>
        <w:gridCol w:w="2976"/>
      </w:tblGrid>
      <w:tr w:rsidR="00541EAB" w:rsidRPr="00CC18FD" w:rsidTr="008D1CF5">
        <w:tc>
          <w:tcPr>
            <w:tcW w:w="3510" w:type="dxa"/>
          </w:tcPr>
          <w:p w:rsidR="00541EAB" w:rsidRPr="00CC18FD" w:rsidRDefault="00541EAB" w:rsidP="008D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AB" w:rsidRPr="00CC18FD" w:rsidRDefault="00541EAB" w:rsidP="008D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510" w:type="dxa"/>
          </w:tcPr>
          <w:p w:rsidR="00541EAB" w:rsidRPr="00CC18FD" w:rsidRDefault="00541EAB" w:rsidP="008D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41EAB" w:rsidRPr="00CC18FD" w:rsidRDefault="00541EAB" w:rsidP="008D1C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EAB" w:rsidRDefault="00541EAB" w:rsidP="00541EA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541EAB" w:rsidTr="008D1CF5">
        <w:tc>
          <w:tcPr>
            <w:tcW w:w="4501" w:type="dxa"/>
          </w:tcPr>
          <w:p w:rsidR="00541EAB" w:rsidRDefault="00541EAB" w:rsidP="008D1CF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1B1346">
              <w:rPr>
                <w:rFonts w:ascii="Times New Roman" w:hAnsi="Times New Roman"/>
                <w:szCs w:val="24"/>
              </w:rPr>
              <w:t>ачальник</w:t>
            </w:r>
          </w:p>
          <w:p w:rsidR="00541EAB" w:rsidRPr="001B1346" w:rsidRDefault="00541EAB" w:rsidP="008D1CF5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1B1346">
              <w:rPr>
                <w:rFonts w:ascii="Times New Roman" w:hAnsi="Times New Roman"/>
                <w:szCs w:val="24"/>
              </w:rPr>
              <w:t>отдела учёта и отчётности</w:t>
            </w:r>
          </w:p>
          <w:p w:rsidR="00541EAB" w:rsidRPr="001B1346" w:rsidRDefault="00541EAB" w:rsidP="008D1CF5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1B1346">
              <w:rPr>
                <w:rFonts w:ascii="Times New Roman" w:hAnsi="Times New Roman"/>
                <w:szCs w:val="24"/>
              </w:rPr>
              <w:t>____________</w:t>
            </w:r>
            <w:r>
              <w:rPr>
                <w:rFonts w:ascii="Times New Roman" w:hAnsi="Times New Roman"/>
                <w:szCs w:val="24"/>
              </w:rPr>
              <w:t>Н.В.Шаталова</w:t>
            </w:r>
            <w:proofErr w:type="spellEnd"/>
          </w:p>
          <w:p w:rsidR="00541EAB" w:rsidRPr="00060721" w:rsidRDefault="00541EAB" w:rsidP="008D1CF5">
            <w:pPr>
              <w:pStyle w:val="a4"/>
              <w:rPr>
                <w:rFonts w:ascii="Times New Roman" w:hAnsi="Times New Roman"/>
                <w:szCs w:val="24"/>
              </w:rPr>
            </w:pPr>
            <w:r w:rsidRPr="001B1346">
              <w:rPr>
                <w:rFonts w:ascii="Times New Roman" w:hAnsi="Times New Roman"/>
                <w:szCs w:val="24"/>
              </w:rPr>
              <w:t>«___»_____________2021г.</w:t>
            </w:r>
          </w:p>
          <w:p w:rsidR="00541EAB" w:rsidRDefault="00541EAB" w:rsidP="008D1CF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</w:tbl>
    <w:p w:rsidR="00B71444" w:rsidRDefault="00B71444"/>
    <w:p w:rsidR="00541EAB" w:rsidRDefault="00541EAB"/>
    <w:p w:rsidR="00541EAB" w:rsidRDefault="00541EAB"/>
    <w:p w:rsidR="00541EAB" w:rsidRDefault="00541EAB"/>
    <w:p w:rsidR="00541EAB" w:rsidRDefault="00541EA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7"/>
        <w:gridCol w:w="3414"/>
      </w:tblGrid>
      <w:tr w:rsidR="00541EAB" w:rsidTr="008D1CF5">
        <w:tc>
          <w:tcPr>
            <w:tcW w:w="6487" w:type="dxa"/>
          </w:tcPr>
          <w:p w:rsidR="00541EAB" w:rsidRDefault="00541EAB" w:rsidP="008D1CF5">
            <w:pPr>
              <w:jc w:val="both"/>
            </w:pPr>
          </w:p>
        </w:tc>
        <w:tc>
          <w:tcPr>
            <w:tcW w:w="3508" w:type="dxa"/>
          </w:tcPr>
          <w:p w:rsidR="00541EAB" w:rsidRDefault="00541EAB" w:rsidP="008D1C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Приложение</w:t>
            </w:r>
          </w:p>
          <w:p w:rsidR="00541EAB" w:rsidRDefault="00541EAB" w:rsidP="008D1C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Утверждено</w:t>
            </w:r>
          </w:p>
          <w:p w:rsidR="00541EAB" w:rsidRDefault="00541EAB" w:rsidP="008D1C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приказом</w:t>
            </w:r>
          </w:p>
          <w:p w:rsidR="00541EAB" w:rsidRDefault="00541EAB" w:rsidP="008D1C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комитета финансов</w:t>
            </w:r>
          </w:p>
          <w:p w:rsidR="00541EAB" w:rsidRDefault="00541EAB" w:rsidP="008D1C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города Курска</w:t>
            </w:r>
          </w:p>
          <w:p w:rsidR="00541EAB" w:rsidRPr="00323265" w:rsidRDefault="00541EAB" w:rsidP="008D1C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от 10.08.2021г. №107</w:t>
            </w:r>
          </w:p>
        </w:tc>
      </w:tr>
    </w:tbl>
    <w:p w:rsidR="00541EAB" w:rsidRPr="00172B48" w:rsidRDefault="00541EAB" w:rsidP="00541E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EAB" w:rsidRDefault="00541EAB" w:rsidP="00541EA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1.1. раздела 1. Организационные положения дополнить 35 абзацем:</w:t>
      </w:r>
    </w:p>
    <w:p w:rsidR="00541EAB" w:rsidRDefault="00541EAB" w:rsidP="0054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149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84149D">
          <w:rPr>
            <w:rStyle w:val="a6"/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84149D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"</w:t>
      </w:r>
      <w:r>
        <w:rPr>
          <w:rFonts w:ascii="Times New Roman" w:hAnsi="Times New Roman" w:cs="Times New Roman"/>
          <w:color w:val="000000"/>
          <w:sz w:val="28"/>
          <w:szCs w:val="28"/>
        </w:rPr>
        <w:t>Нематериальные активы</w:t>
      </w:r>
      <w:r w:rsidRPr="0084149D">
        <w:rPr>
          <w:rFonts w:ascii="Times New Roman" w:hAnsi="Times New Roman" w:cs="Times New Roman"/>
          <w:sz w:val="28"/>
          <w:szCs w:val="28"/>
        </w:rPr>
        <w:t xml:space="preserve">", утвержденный Приказом Минфина России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4149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14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149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181н</w:t>
      </w:r>
      <w:r w:rsidRPr="0084149D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6" w:history="1">
        <w:r w:rsidRPr="0084149D">
          <w:rPr>
            <w:rStyle w:val="a6"/>
            <w:rFonts w:ascii="Times New Roman" w:hAnsi="Times New Roman" w:cs="Times New Roman"/>
            <w:sz w:val="28"/>
            <w:szCs w:val="28"/>
          </w:rPr>
          <w:t>СГС</w:t>
        </w:r>
      </w:hyperlink>
      <w:r w:rsidRPr="0084149D">
        <w:rPr>
          <w:rFonts w:ascii="Times New Roman" w:hAnsi="Times New Roman" w:cs="Times New Roman"/>
          <w:sz w:val="28"/>
          <w:szCs w:val="28"/>
        </w:rPr>
        <w:t xml:space="preserve"> ""</w:t>
      </w:r>
      <w:r>
        <w:rPr>
          <w:rFonts w:ascii="Times New Roman" w:hAnsi="Times New Roman" w:cs="Times New Roman"/>
          <w:color w:val="000000"/>
          <w:sz w:val="28"/>
          <w:szCs w:val="28"/>
        </w:rPr>
        <w:t>Нематериальные активы</w:t>
      </w:r>
      <w:r w:rsidRPr="0084149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1EAB" w:rsidRDefault="00541EAB" w:rsidP="00541EAB">
      <w:pPr>
        <w:tabs>
          <w:tab w:val="left" w:pos="142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4E60">
        <w:rPr>
          <w:rFonts w:ascii="Times New Roman" w:hAnsi="Times New Roman" w:cs="Times New Roman"/>
          <w:sz w:val="28"/>
          <w:szCs w:val="28"/>
        </w:rPr>
        <w:t xml:space="preserve"> Пункт 7.2. раздела 7.Администрирование доходов,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исключить и </w:t>
      </w:r>
      <w:r w:rsidRPr="008E4E60">
        <w:rPr>
          <w:rFonts w:ascii="Times New Roman" w:hAnsi="Times New Roman" w:cs="Times New Roman"/>
          <w:sz w:val="28"/>
          <w:szCs w:val="28"/>
        </w:rPr>
        <w:t>изложить в редакции следующего содержания:</w:t>
      </w:r>
    </w:p>
    <w:p w:rsidR="00541EAB" w:rsidRPr="00D6253F" w:rsidRDefault="00541EAB" w:rsidP="00541EAB">
      <w:pPr>
        <w:pStyle w:val="2"/>
        <w:numPr>
          <w:ilvl w:val="0"/>
          <w:numId w:val="0"/>
        </w:num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 «7.2. </w:t>
      </w:r>
      <w:r w:rsidRPr="00D6253F">
        <w:rPr>
          <w:sz w:val="28"/>
          <w:szCs w:val="28"/>
        </w:rPr>
        <w:t>Сверка отчетных данных по поступлениям в бюджет с органами Федерального казначейства осуществляется ежемесячно.</w:t>
      </w:r>
    </w:p>
    <w:p w:rsidR="00541EAB" w:rsidRDefault="00541EAB" w:rsidP="00541EAB">
      <w:pPr>
        <w:rPr>
          <w:i/>
        </w:rPr>
      </w:pPr>
      <w:r>
        <w:rPr>
          <w:i/>
        </w:rPr>
        <w:t xml:space="preserve">(Основание: </w:t>
      </w:r>
      <w:hyperlink r:id="rId7" w:history="1">
        <w:r>
          <w:rPr>
            <w:rStyle w:val="a6"/>
            <w:i/>
          </w:rPr>
          <w:t>п. 61</w:t>
        </w:r>
      </w:hyperlink>
      <w:r>
        <w:rPr>
          <w:i/>
        </w:rPr>
        <w:t xml:space="preserve"> Порядка учета Федеральным казначейством поступлений в бюджетную систему РФ и их распределения между бюджетами бюджетной системы РФ, утвержденного Приказом Минфина России от 18.12.2013 № 125н)</w:t>
      </w:r>
    </w:p>
    <w:p w:rsidR="00541EAB" w:rsidRPr="005C4818" w:rsidRDefault="00541EAB" w:rsidP="00541E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818">
        <w:rPr>
          <w:rFonts w:ascii="Times New Roman" w:hAnsi="Times New Roman" w:cs="Times New Roman"/>
          <w:bCs/>
          <w:sz w:val="28"/>
          <w:szCs w:val="28"/>
        </w:rPr>
        <w:t>Комитет финансов города Курска является администратором доходов по поступлениям от бюджетов бюджетной системы РФ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C4818">
        <w:rPr>
          <w:rFonts w:ascii="Times New Roman" w:hAnsi="Times New Roman" w:cs="Times New Roman"/>
          <w:bCs/>
          <w:sz w:val="28"/>
          <w:szCs w:val="28"/>
        </w:rPr>
        <w:t xml:space="preserve"> осуществляет принятие к учету доходов от межбюджетных трансфертов (</w:t>
      </w:r>
      <w:hyperlink r:id="rId8" w:history="1">
        <w:r w:rsidRPr="005C481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27</w:t>
        </w:r>
      </w:hyperlink>
      <w:r w:rsidRPr="005C4818">
        <w:rPr>
          <w:rFonts w:ascii="Times New Roman" w:hAnsi="Times New Roman" w:cs="Times New Roman"/>
          <w:bCs/>
          <w:sz w:val="28"/>
          <w:szCs w:val="28"/>
        </w:rPr>
        <w:t xml:space="preserve"> СГС "Доходы"). Операции по предоставленным межбюджетным трансфертам учитываются на </w:t>
      </w:r>
      <w:hyperlink r:id="rId9" w:history="1">
        <w:r w:rsidRPr="005C4818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счетах 0 205 51 000</w:t>
        </w:r>
      </w:hyperlink>
      <w:r w:rsidRPr="005C481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Pr="005C4818">
          <w:rPr>
            <w:rFonts w:ascii="Times New Roman" w:hAnsi="Times New Roman" w:cs="Times New Roman"/>
            <w:bCs/>
            <w:color w:val="0000FF"/>
            <w:sz w:val="28"/>
            <w:szCs w:val="28"/>
          </w:rPr>
          <w:t>0 205 61 000</w:t>
        </w:r>
      </w:hyperlink>
      <w:r w:rsidRPr="005C4818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EAB" w:rsidRPr="005C4818" w:rsidRDefault="00541EAB" w:rsidP="00541EA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 w:rsidRPr="005C4818">
        <w:rPr>
          <w:rFonts w:ascii="Times New Roman" w:hAnsi="Times New Roman" w:cs="Times New Roman"/>
          <w:sz w:val="28"/>
          <w:szCs w:val="28"/>
        </w:rPr>
        <w:t>Межбюджетные трансферты предоставляются с условиями при передаче активов или без них. Если доходы от межбюджетных трансфертов предоставлены без условий при передаче активов, они признаются в учете на дату возникновения права на их получение (</w:t>
      </w:r>
      <w:hyperlink r:id="rId11" w:history="1">
        <w:r w:rsidRPr="005C4818">
          <w:rPr>
            <w:rFonts w:ascii="Times New Roman" w:hAnsi="Times New Roman" w:cs="Times New Roman"/>
            <w:color w:val="0000FF"/>
            <w:sz w:val="28"/>
            <w:szCs w:val="28"/>
          </w:rPr>
          <w:t>п. 28</w:t>
        </w:r>
      </w:hyperlink>
      <w:r w:rsidRPr="005C4818">
        <w:rPr>
          <w:rFonts w:ascii="Times New Roman" w:hAnsi="Times New Roman" w:cs="Times New Roman"/>
          <w:sz w:val="28"/>
          <w:szCs w:val="28"/>
        </w:rPr>
        <w:t xml:space="preserve"> СГС "Доходы"):</w:t>
      </w:r>
    </w:p>
    <w:p w:rsidR="00541EAB" w:rsidRPr="005C4818" w:rsidRDefault="00541EAB" w:rsidP="00541EA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 w:rsidRPr="005C4818">
        <w:rPr>
          <w:rFonts w:ascii="Times New Roman" w:hAnsi="Times New Roman" w:cs="Times New Roman"/>
          <w:sz w:val="28"/>
          <w:szCs w:val="28"/>
        </w:rPr>
        <w:t>в части, которая относится к текущему периоду, - доходами текущего отчетного периода;</w:t>
      </w:r>
    </w:p>
    <w:p w:rsidR="00541EAB" w:rsidRPr="005C4818" w:rsidRDefault="00541EAB" w:rsidP="00541E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4818">
        <w:rPr>
          <w:rFonts w:ascii="Times New Roman" w:hAnsi="Times New Roman" w:cs="Times New Roman"/>
          <w:sz w:val="28"/>
          <w:szCs w:val="28"/>
        </w:rPr>
        <w:t>в части, относящейся к будущим периодам, - доходами будущих периодов</w:t>
      </w:r>
    </w:p>
    <w:p w:rsidR="00541EAB" w:rsidRPr="007E04BA" w:rsidRDefault="00541EAB" w:rsidP="00541EA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1EAB" w:rsidRDefault="00541EAB" w:rsidP="00541E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40140 «Доходы будущих периодов» детализируется счетами аналитического учета:</w:t>
      </w:r>
    </w:p>
    <w:p w:rsidR="00541EAB" w:rsidRDefault="00541EAB" w:rsidP="00541E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-для отражения доходов будущих периодов, признаваемых в текущем году, применяется счет 40141;</w:t>
      </w:r>
    </w:p>
    <w:p w:rsidR="00541EAB" w:rsidRDefault="00541EAB" w:rsidP="00541EA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-для отражения доходов будущих периодов, признаваемых в очередные  года, применяется счет 40149.</w:t>
      </w:r>
      <w:proofErr w:type="gramEnd"/>
    </w:p>
    <w:p w:rsidR="00541EAB" w:rsidRDefault="00541EAB" w:rsidP="00541EA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Остатка на конец отчетного года по счету 40141 не должно быть.</w:t>
      </w:r>
    </w:p>
    <w:p w:rsidR="00541EAB" w:rsidRDefault="00541EAB" w:rsidP="00541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Доходы будущих периодов к признанию в текущем  году  в течение финансового года признаются в бухгалтерском учете в части, относящейся к текущему периоду, доходами текущего  года с отражением на соответствующих счетах аналитического учета счета 40110 «Доходы текущего финансового года».  </w:t>
      </w:r>
    </w:p>
    <w:p w:rsidR="00541EAB" w:rsidRPr="00297C25" w:rsidRDefault="00541EAB" w:rsidP="00541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Неиспользованные остатки средств межбюджетных трансфертов </w:t>
      </w:r>
      <w:r w:rsidRPr="00297C25">
        <w:rPr>
          <w:rFonts w:ascii="Times New Roman" w:hAnsi="Times New Roman" w:cs="Times New Roman"/>
          <w:sz w:val="28"/>
          <w:szCs w:val="28"/>
        </w:rPr>
        <w:t xml:space="preserve">по состоянию на 1 января очередного финансового года </w:t>
      </w:r>
      <w:r>
        <w:rPr>
          <w:rFonts w:ascii="Times New Roman" w:hAnsi="Times New Roman" w:cs="Times New Roman"/>
          <w:sz w:val="28"/>
          <w:szCs w:val="28"/>
        </w:rPr>
        <w:t>относятся на счет 130305000 «Расчеты по платежам в бюджеты» и</w:t>
      </w:r>
      <w:r w:rsidRPr="00297C25">
        <w:rPr>
          <w:rFonts w:ascii="Times New Roman" w:hAnsi="Times New Roman" w:cs="Times New Roman"/>
          <w:sz w:val="28"/>
          <w:szCs w:val="28"/>
        </w:rPr>
        <w:t xml:space="preserve"> в течение 10 рабочих дней комитетом финансов города Курска возвращаются в бюджет, из которого были предоставлены целевые средства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C25">
        <w:rPr>
          <w:rFonts w:ascii="Times New Roman" w:hAnsi="Times New Roman" w:cs="Times New Roman"/>
          <w:sz w:val="28"/>
          <w:szCs w:val="28"/>
        </w:rPr>
        <w:t>.</w:t>
      </w:r>
    </w:p>
    <w:p w:rsidR="00541EAB" w:rsidRDefault="00541EAB" w:rsidP="00541EA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1EAB" w:rsidRPr="00670B48" w:rsidRDefault="00541EAB" w:rsidP="00541EAB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670B4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0B48">
        <w:rPr>
          <w:rFonts w:ascii="Times New Roman" w:hAnsi="Times New Roman" w:cs="Times New Roman"/>
          <w:sz w:val="28"/>
          <w:szCs w:val="28"/>
        </w:rPr>
        <w:t xml:space="preserve"> 10.2. раздела 10.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0B48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670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0B48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» слова «неисключительные права пользования на результаты интеллектуальной деятельности»</w:t>
      </w:r>
      <w:r w:rsidRPr="00670B48">
        <w:rPr>
          <w:rFonts w:ascii="Times New Roman" w:hAnsi="Times New Roman" w:cs="Times New Roman"/>
          <w:sz w:val="28"/>
          <w:szCs w:val="28"/>
        </w:rPr>
        <w:t xml:space="preserve">  исключить.</w:t>
      </w:r>
    </w:p>
    <w:p w:rsidR="00541EAB" w:rsidRDefault="00541EAB" w:rsidP="00541EA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41EAB" w:rsidRPr="006B0DF0" w:rsidRDefault="00541EAB" w:rsidP="00541EA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DF0">
        <w:rPr>
          <w:rFonts w:ascii="Times New Roman" w:hAnsi="Times New Roman" w:cs="Times New Roman"/>
          <w:color w:val="000000"/>
          <w:sz w:val="28"/>
          <w:szCs w:val="28"/>
        </w:rPr>
        <w:t>Приложение к приказу комитета финансов города Курска от 28.12.2020 года № 131 «Учетная политика комитета финансов города Курска для целей бюджетного учета» дополнить разделом 14.«Право пользования нематериальными активами» следующего содержания:</w:t>
      </w:r>
    </w:p>
    <w:p w:rsidR="00541EAB" w:rsidRDefault="00541EAB" w:rsidP="00541EAB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5A6E">
        <w:rPr>
          <w:sz w:val="28"/>
          <w:szCs w:val="28"/>
        </w:rPr>
        <w:t>Неисключительные права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такого права, отража</w:t>
      </w:r>
      <w:r>
        <w:rPr>
          <w:sz w:val="28"/>
          <w:szCs w:val="28"/>
        </w:rPr>
        <w:t>ются</w:t>
      </w:r>
      <w:r w:rsidRPr="00C75A6E">
        <w:rPr>
          <w:sz w:val="28"/>
          <w:szCs w:val="28"/>
        </w:rPr>
        <w:t xml:space="preserve"> на соответствующих счетах аналитического учета </w:t>
      </w:r>
      <w:hyperlink r:id="rId12" w:history="1">
        <w:r w:rsidRPr="00C75A6E">
          <w:rPr>
            <w:color w:val="0000FF"/>
            <w:sz w:val="28"/>
            <w:szCs w:val="28"/>
          </w:rPr>
          <w:t>счета 111 60</w:t>
        </w:r>
      </w:hyperlink>
      <w:r w:rsidRPr="00C75A6E">
        <w:rPr>
          <w:sz w:val="28"/>
          <w:szCs w:val="28"/>
        </w:rPr>
        <w:t xml:space="preserve"> (</w:t>
      </w:r>
      <w:hyperlink r:id="rId13" w:history="1">
        <w:r w:rsidRPr="00C75A6E">
          <w:rPr>
            <w:color w:val="0000FF"/>
            <w:sz w:val="28"/>
            <w:szCs w:val="28"/>
          </w:rPr>
          <w:t>п. п. 151.1</w:t>
        </w:r>
      </w:hyperlink>
      <w:r w:rsidRPr="00C75A6E">
        <w:rPr>
          <w:sz w:val="28"/>
          <w:szCs w:val="28"/>
        </w:rPr>
        <w:t xml:space="preserve">, </w:t>
      </w:r>
      <w:hyperlink r:id="rId14" w:history="1">
        <w:r w:rsidRPr="00C75A6E">
          <w:rPr>
            <w:color w:val="0000FF"/>
            <w:sz w:val="28"/>
            <w:szCs w:val="28"/>
          </w:rPr>
          <w:t>151.2</w:t>
        </w:r>
      </w:hyperlink>
      <w:r w:rsidRPr="00C75A6E">
        <w:rPr>
          <w:sz w:val="28"/>
          <w:szCs w:val="28"/>
        </w:rPr>
        <w:t xml:space="preserve"> Инструкции N 157н, </w:t>
      </w:r>
      <w:hyperlink r:id="rId15" w:history="1">
        <w:r w:rsidRPr="00C75A6E">
          <w:rPr>
            <w:color w:val="0000FF"/>
            <w:sz w:val="28"/>
            <w:szCs w:val="28"/>
          </w:rPr>
          <w:t>разд. 3</w:t>
        </w:r>
      </w:hyperlink>
      <w:r w:rsidRPr="00C75A6E">
        <w:rPr>
          <w:sz w:val="28"/>
          <w:szCs w:val="28"/>
        </w:rPr>
        <w:t xml:space="preserve"> Методических рекомендаций по применению СГС </w:t>
      </w:r>
      <w:r>
        <w:rPr>
          <w:sz w:val="28"/>
          <w:szCs w:val="28"/>
        </w:rPr>
        <w:t>«</w:t>
      </w:r>
      <w:r w:rsidRPr="00C75A6E">
        <w:rPr>
          <w:sz w:val="28"/>
          <w:szCs w:val="28"/>
        </w:rPr>
        <w:t>Нематериальные активы</w:t>
      </w:r>
      <w:r>
        <w:rPr>
          <w:sz w:val="28"/>
          <w:szCs w:val="28"/>
        </w:rPr>
        <w:t>»</w:t>
      </w:r>
      <w:r w:rsidRPr="00C75A6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41EAB" w:rsidRPr="00133684" w:rsidRDefault="00541EAB" w:rsidP="00541EAB">
      <w:pPr>
        <w:pStyle w:val="ConsPlusNormal"/>
        <w:spacing w:before="240"/>
        <w:jc w:val="both"/>
        <w:rPr>
          <w:sz w:val="28"/>
          <w:szCs w:val="28"/>
        </w:rPr>
      </w:pPr>
      <w:r w:rsidRPr="00133684">
        <w:rPr>
          <w:sz w:val="28"/>
          <w:szCs w:val="28"/>
        </w:rPr>
        <w:t>Нематериальные активы подразделяются на две подгруппы (</w:t>
      </w:r>
      <w:hyperlink r:id="rId16" w:history="1">
        <w:r w:rsidRPr="00133684">
          <w:rPr>
            <w:color w:val="0000FF"/>
            <w:sz w:val="28"/>
            <w:szCs w:val="28"/>
          </w:rPr>
          <w:t>п. 6</w:t>
        </w:r>
      </w:hyperlink>
      <w:r w:rsidRPr="00133684">
        <w:rPr>
          <w:sz w:val="28"/>
          <w:szCs w:val="28"/>
        </w:rPr>
        <w:t xml:space="preserve"> СГС </w:t>
      </w:r>
      <w:r>
        <w:rPr>
          <w:sz w:val="28"/>
          <w:szCs w:val="28"/>
        </w:rPr>
        <w:t>«</w:t>
      </w:r>
      <w:r w:rsidRPr="00133684">
        <w:rPr>
          <w:sz w:val="28"/>
          <w:szCs w:val="28"/>
        </w:rPr>
        <w:t>Нематериальные активы</w:t>
      </w:r>
      <w:r>
        <w:rPr>
          <w:sz w:val="28"/>
          <w:szCs w:val="28"/>
        </w:rPr>
        <w:t>»</w:t>
      </w:r>
      <w:r w:rsidRPr="00133684">
        <w:rPr>
          <w:sz w:val="28"/>
          <w:szCs w:val="28"/>
        </w:rPr>
        <w:t>):</w:t>
      </w:r>
    </w:p>
    <w:p w:rsidR="00541EAB" w:rsidRPr="00133684" w:rsidRDefault="00541EAB" w:rsidP="00541EAB">
      <w:pPr>
        <w:pStyle w:val="ConsPlusNormal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133684">
        <w:rPr>
          <w:sz w:val="28"/>
          <w:szCs w:val="28"/>
        </w:rPr>
        <w:t>с определенным сроком полезного использования;</w:t>
      </w:r>
    </w:p>
    <w:p w:rsidR="00541EAB" w:rsidRPr="00133684" w:rsidRDefault="00541EAB" w:rsidP="00541EAB">
      <w:pPr>
        <w:pStyle w:val="ConsPlusNormal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133684">
        <w:rPr>
          <w:sz w:val="28"/>
          <w:szCs w:val="28"/>
        </w:rPr>
        <w:t>с неопределенным сроком полезного использования.</w:t>
      </w:r>
    </w:p>
    <w:p w:rsidR="00541EAB" w:rsidRPr="00133684" w:rsidRDefault="00541EAB" w:rsidP="00541EAB">
      <w:pPr>
        <w:pStyle w:val="ConsPlusNormal"/>
        <w:spacing w:before="240"/>
        <w:jc w:val="both"/>
        <w:rPr>
          <w:sz w:val="28"/>
          <w:szCs w:val="28"/>
        </w:rPr>
      </w:pPr>
      <w:proofErr w:type="gramStart"/>
      <w:r w:rsidRPr="00133684">
        <w:rPr>
          <w:sz w:val="28"/>
          <w:szCs w:val="28"/>
        </w:rPr>
        <w:t xml:space="preserve">Операции по поступлению, внутреннему перемещению в связи с </w:t>
      </w:r>
      <w:proofErr w:type="spellStart"/>
      <w:r w:rsidRPr="00133684">
        <w:rPr>
          <w:sz w:val="28"/>
          <w:szCs w:val="28"/>
        </w:rPr>
        <w:t>реклассификацией</w:t>
      </w:r>
      <w:proofErr w:type="spellEnd"/>
      <w:r w:rsidRPr="00133684">
        <w:rPr>
          <w:sz w:val="28"/>
          <w:szCs w:val="28"/>
        </w:rPr>
        <w:t xml:space="preserve">, выбытию (списанию) объектов нематериальных активов отражаются в бухгалтерском (бюджетном) учете на основании решения постоянно действующей комиссии </w:t>
      </w:r>
      <w:r>
        <w:rPr>
          <w:sz w:val="28"/>
          <w:szCs w:val="28"/>
        </w:rPr>
        <w:t>комитета</w:t>
      </w:r>
      <w:r w:rsidRPr="00133684">
        <w:rPr>
          <w:sz w:val="28"/>
          <w:szCs w:val="28"/>
        </w:rPr>
        <w:t xml:space="preserve"> по поступлению и выбытию активов, оформленного соответствующим первичным (сводным) учетным документом (</w:t>
      </w:r>
      <w:hyperlink r:id="rId17" w:history="1">
        <w:r w:rsidRPr="00133684">
          <w:rPr>
            <w:color w:val="0000FF"/>
            <w:sz w:val="28"/>
            <w:szCs w:val="28"/>
          </w:rPr>
          <w:t>п. п. 34</w:t>
        </w:r>
      </w:hyperlink>
      <w:r w:rsidRPr="00133684">
        <w:rPr>
          <w:sz w:val="28"/>
          <w:szCs w:val="28"/>
        </w:rPr>
        <w:t xml:space="preserve">, </w:t>
      </w:r>
      <w:hyperlink r:id="rId18" w:history="1">
        <w:r w:rsidRPr="00133684">
          <w:rPr>
            <w:color w:val="0000FF"/>
            <w:sz w:val="28"/>
            <w:szCs w:val="28"/>
          </w:rPr>
          <w:t>63</w:t>
        </w:r>
      </w:hyperlink>
      <w:r w:rsidRPr="00133684">
        <w:rPr>
          <w:sz w:val="28"/>
          <w:szCs w:val="28"/>
        </w:rPr>
        <w:t xml:space="preserve"> Инструкции N 157н, </w:t>
      </w:r>
      <w:hyperlink r:id="rId19" w:history="1">
        <w:r w:rsidRPr="00133684">
          <w:rPr>
            <w:color w:val="0000FF"/>
            <w:sz w:val="28"/>
            <w:szCs w:val="28"/>
          </w:rPr>
          <w:t>разд. 2</w:t>
        </w:r>
      </w:hyperlink>
      <w:r w:rsidRPr="00133684">
        <w:rPr>
          <w:sz w:val="28"/>
          <w:szCs w:val="28"/>
        </w:rPr>
        <w:t xml:space="preserve"> Методических рекомендаций по применению СГС </w:t>
      </w:r>
      <w:r>
        <w:rPr>
          <w:sz w:val="28"/>
          <w:szCs w:val="28"/>
        </w:rPr>
        <w:t>«</w:t>
      </w:r>
      <w:r w:rsidRPr="00133684">
        <w:rPr>
          <w:sz w:val="28"/>
          <w:szCs w:val="28"/>
        </w:rPr>
        <w:t>Нематериальные активы</w:t>
      </w:r>
      <w:r>
        <w:rPr>
          <w:sz w:val="28"/>
          <w:szCs w:val="28"/>
        </w:rPr>
        <w:t>»</w:t>
      </w:r>
      <w:r w:rsidRPr="00133684">
        <w:rPr>
          <w:sz w:val="28"/>
          <w:szCs w:val="28"/>
        </w:rPr>
        <w:t>).</w:t>
      </w:r>
      <w:proofErr w:type="gramEnd"/>
    </w:p>
    <w:p w:rsidR="00541EAB" w:rsidRPr="00133684" w:rsidRDefault="00541EAB" w:rsidP="00541EAB">
      <w:pPr>
        <w:pStyle w:val="ConsPlusNormal"/>
        <w:spacing w:before="240"/>
        <w:jc w:val="both"/>
        <w:rPr>
          <w:sz w:val="28"/>
          <w:szCs w:val="28"/>
        </w:rPr>
      </w:pPr>
      <w:r w:rsidRPr="00133684">
        <w:rPr>
          <w:sz w:val="28"/>
          <w:szCs w:val="28"/>
        </w:rPr>
        <w:t>Неисключительные права пользования на результаты интеллектуальной деятельности со сроком полезного использования не более 12 месяцев отн</w:t>
      </w:r>
      <w:r>
        <w:rPr>
          <w:sz w:val="28"/>
          <w:szCs w:val="28"/>
        </w:rPr>
        <w:t>о</w:t>
      </w:r>
      <w:r w:rsidRPr="00133684">
        <w:rPr>
          <w:sz w:val="28"/>
          <w:szCs w:val="28"/>
        </w:rPr>
        <w:t>с</w:t>
      </w:r>
      <w:r>
        <w:rPr>
          <w:sz w:val="28"/>
          <w:szCs w:val="28"/>
        </w:rPr>
        <w:t>ятся</w:t>
      </w:r>
      <w:r w:rsidRPr="00133684">
        <w:rPr>
          <w:sz w:val="28"/>
          <w:szCs w:val="28"/>
        </w:rPr>
        <w:t xml:space="preserve"> на текущие расходы (затраты) счет 40120. Если этот срок истекает в году, следующем за годом приобретения таких прав пользования, расходы </w:t>
      </w:r>
      <w:r w:rsidRPr="00133684">
        <w:rPr>
          <w:sz w:val="28"/>
          <w:szCs w:val="28"/>
        </w:rPr>
        <w:lastRenderedPageBreak/>
        <w:t>учитыв</w:t>
      </w:r>
      <w:r>
        <w:rPr>
          <w:sz w:val="28"/>
          <w:szCs w:val="28"/>
        </w:rPr>
        <w:t>аются</w:t>
      </w:r>
      <w:r w:rsidRPr="00133684">
        <w:rPr>
          <w:sz w:val="28"/>
          <w:szCs w:val="28"/>
        </w:rPr>
        <w:t xml:space="preserve"> на </w:t>
      </w:r>
      <w:hyperlink r:id="rId20" w:history="1">
        <w:r w:rsidRPr="00133684">
          <w:rPr>
            <w:color w:val="0000FF"/>
            <w:sz w:val="28"/>
            <w:szCs w:val="28"/>
          </w:rPr>
          <w:t>счете 401 50</w:t>
        </w:r>
      </w:hyperlink>
      <w:r w:rsidRPr="001336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33684">
        <w:rPr>
          <w:sz w:val="28"/>
          <w:szCs w:val="28"/>
        </w:rPr>
        <w:t>Расходы будущих периодов</w:t>
      </w:r>
      <w:r>
        <w:rPr>
          <w:sz w:val="28"/>
          <w:szCs w:val="28"/>
        </w:rPr>
        <w:t>»</w:t>
      </w:r>
      <w:r w:rsidRPr="00133684">
        <w:rPr>
          <w:sz w:val="28"/>
          <w:szCs w:val="28"/>
        </w:rPr>
        <w:t xml:space="preserve">. </w:t>
      </w:r>
    </w:p>
    <w:p w:rsidR="00541EAB" w:rsidRDefault="00541EAB" w:rsidP="00541E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аналитического учета, принятия к учету, начисления амортизации и списания прав пользования нематериальными активами аналогичны таковым для основных средств».</w:t>
      </w:r>
    </w:p>
    <w:p w:rsidR="00541EAB" w:rsidRDefault="00541EAB" w:rsidP="00541E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1EAB" w:rsidRPr="00BA5251" w:rsidRDefault="00541EAB" w:rsidP="00541EAB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25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№1 к учетной политике комитета финансов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Курска </w:t>
      </w:r>
      <w:r w:rsidRPr="00BA5251">
        <w:rPr>
          <w:rFonts w:ascii="Times New Roman" w:hAnsi="Times New Roman" w:cs="Times New Roman"/>
          <w:color w:val="000000"/>
          <w:sz w:val="28"/>
          <w:szCs w:val="28"/>
        </w:rPr>
        <w:t>«Рабочий   план счетов» дополнить  балансовыми счетами следующего содержания:</w:t>
      </w:r>
    </w:p>
    <w:p w:rsidR="00541EAB" w:rsidRPr="00172B48" w:rsidRDefault="00541EAB" w:rsidP="00541EA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220"/>
        <w:gridCol w:w="709"/>
        <w:gridCol w:w="1017"/>
        <w:gridCol w:w="1250"/>
        <w:gridCol w:w="851"/>
        <w:gridCol w:w="1448"/>
      </w:tblGrid>
      <w:tr w:rsidR="00541EAB" w:rsidRPr="000C1EF6" w:rsidTr="008D1CF5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jc w:val="center"/>
              <w:rPr>
                <w:sz w:val="28"/>
                <w:szCs w:val="28"/>
              </w:rPr>
            </w:pPr>
            <w:r w:rsidRPr="000C1EF6"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6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  <w:jc w:val="center"/>
            </w:pPr>
            <w:r w:rsidRPr="000C1EF6">
              <w:t>Номер счета</w:t>
            </w:r>
          </w:p>
        </w:tc>
      </w:tr>
      <w:tr w:rsidR="00541EAB" w:rsidRPr="000C1EF6" w:rsidTr="008D1CF5">
        <w:trPr>
          <w:trHeight w:val="267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  <w:jc w:val="center"/>
            </w:pPr>
            <w:r w:rsidRPr="000C1EF6">
              <w:t>код</w:t>
            </w:r>
          </w:p>
        </w:tc>
      </w:tr>
      <w:tr w:rsidR="00541EAB" w:rsidRPr="000C1EF6" w:rsidTr="008D1CF5">
        <w:trPr>
          <w:trHeight w:val="24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аналитический классификационный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вида финансового обеспечения (деятельности)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9F2E78" w:rsidRDefault="00541EAB" w:rsidP="008D1CF5">
            <w:pPr>
              <w:pStyle w:val="a4"/>
              <w:rPr>
                <w:szCs w:val="28"/>
              </w:rPr>
            </w:pPr>
            <w:r w:rsidRPr="009F2E78">
              <w:rPr>
                <w:szCs w:val="28"/>
              </w:rPr>
              <w:t>синтетического счета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9F2E78" w:rsidRDefault="00541EAB" w:rsidP="008D1CF5">
            <w:pPr>
              <w:pStyle w:val="a4"/>
              <w:rPr>
                <w:szCs w:val="28"/>
              </w:rPr>
            </w:pPr>
            <w:proofErr w:type="gramStart"/>
            <w:r w:rsidRPr="009F2E78">
              <w:rPr>
                <w:szCs w:val="28"/>
              </w:rPr>
              <w:t>аналитический</w:t>
            </w:r>
            <w:proofErr w:type="gramEnd"/>
            <w:r w:rsidRPr="009F2E78">
              <w:rPr>
                <w:szCs w:val="28"/>
              </w:rPr>
              <w:t xml:space="preserve"> вида поступлений, выбытий</w:t>
            </w:r>
          </w:p>
        </w:tc>
      </w:tr>
      <w:tr w:rsidR="00541EAB" w:rsidRPr="000C1EF6" w:rsidTr="008D1CF5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9F2E78" w:rsidRDefault="00541EAB" w:rsidP="008D1CF5">
            <w:pPr>
              <w:pStyle w:val="a4"/>
              <w:rPr>
                <w:szCs w:val="28"/>
              </w:rPr>
            </w:pPr>
            <w:r w:rsidRPr="009F2E78">
              <w:rPr>
                <w:szCs w:val="28"/>
              </w:rPr>
              <w:t>объекта учета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9F2E78" w:rsidRDefault="00541EAB" w:rsidP="008D1CF5">
            <w:pPr>
              <w:pStyle w:val="a4"/>
              <w:rPr>
                <w:szCs w:val="28"/>
              </w:rPr>
            </w:pPr>
            <w:r w:rsidRPr="009F2E78">
              <w:rPr>
                <w:szCs w:val="28"/>
              </w:rPr>
              <w:t>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9F2E78" w:rsidRDefault="00541EAB" w:rsidP="008D1CF5">
            <w:pPr>
              <w:pStyle w:val="a4"/>
              <w:rPr>
                <w:szCs w:val="28"/>
              </w:rPr>
            </w:pPr>
            <w:r w:rsidRPr="009F2E78">
              <w:rPr>
                <w:szCs w:val="28"/>
              </w:rPr>
              <w:t>вида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9F2E78" w:rsidRDefault="00541EAB" w:rsidP="008D1CF5">
            <w:pPr>
              <w:pStyle w:val="a4"/>
              <w:rPr>
                <w:szCs w:val="28"/>
              </w:rPr>
            </w:pPr>
          </w:p>
        </w:tc>
      </w:tr>
      <w:tr w:rsidR="00541EAB" w:rsidRPr="000C1EF6" w:rsidTr="008D1CF5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1 - 17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19 - 21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24 - 26</w:t>
            </w:r>
          </w:p>
        </w:tc>
      </w:tr>
      <w:tr w:rsidR="00541EAB" w:rsidRPr="000C1EF6" w:rsidTr="008D1CF5">
        <w:trPr>
          <w:trHeight w:val="31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НЕФИНАНСОВЫЕ АКТИВЫ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</w:tr>
      <w:tr w:rsidR="00541EAB" w:rsidRPr="000C1EF6" w:rsidTr="008D1CF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rPr>
                <w:rFonts w:eastAsiaTheme="minorHAnsi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B6447B"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 xml:space="preserve">1 0 </w:t>
            </w:r>
            <w: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7B2797" w:rsidRDefault="00541EAB" w:rsidP="008D1CF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hyperlink r:id="rId21" w:history="1">
              <w:r w:rsidRPr="00B6447B">
                <w:rPr>
                  <w:color w:val="0000FF"/>
                </w:rPr>
                <w:t>000</w:t>
              </w:r>
            </w:hyperlink>
          </w:p>
        </w:tc>
      </w:tr>
      <w:tr w:rsidR="00541EAB" w:rsidRPr="00B6447B" w:rsidTr="008D1CF5">
        <w:trPr>
          <w:trHeight w:val="86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rPr>
                <w:rFonts w:eastAsiaTheme="minorHAnsi"/>
              </w:rPr>
              <w:t>Права пользования программным обеспечением и базами данных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B6447B" w:rsidRDefault="00541EAB" w:rsidP="008D1CF5">
            <w:pPr>
              <w:pStyle w:val="a4"/>
            </w:pPr>
            <w:r w:rsidRPr="00B6447B"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 xml:space="preserve">1 </w:t>
            </w:r>
            <w: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7B2797" w:rsidRDefault="00541EAB" w:rsidP="008D1CF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B6447B" w:rsidRDefault="00541EAB" w:rsidP="008D1CF5">
            <w:pPr>
              <w:pStyle w:val="a4"/>
            </w:pPr>
            <w:hyperlink r:id="rId22" w:history="1">
              <w:r w:rsidRPr="00B6447B">
                <w:rPr>
                  <w:color w:val="0000FF"/>
                </w:rPr>
                <w:t>000</w:t>
              </w:r>
            </w:hyperlink>
          </w:p>
        </w:tc>
      </w:tr>
      <w:tr w:rsidR="00541EAB" w:rsidRPr="00B6447B" w:rsidTr="008D1CF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Default="00541EAB" w:rsidP="008D1CF5">
            <w:pPr>
              <w:pStyle w:val="a4"/>
            </w:pPr>
            <w:r>
              <w:rPr>
                <w:rFonts w:eastAsiaTheme="minorHAnsi"/>
              </w:rPr>
              <w:t>А</w:t>
            </w:r>
            <w:r w:rsidRPr="00B35A23">
              <w:rPr>
                <w:rFonts w:eastAsiaTheme="minorHAnsi"/>
              </w:rPr>
              <w:t>мортизация прав пользования программным обеспечением и базами данных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B6447B" w:rsidRDefault="00541EAB" w:rsidP="008D1CF5">
            <w:pPr>
              <w:pStyle w:val="a4"/>
            </w:pPr>
            <w:r w:rsidRPr="00B6447B"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 xml:space="preserve">1 </w:t>
            </w:r>
            <w: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7B2797" w:rsidRDefault="00541EAB" w:rsidP="008D1CF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B6447B" w:rsidRDefault="00541EAB" w:rsidP="008D1CF5">
            <w:pPr>
              <w:pStyle w:val="a4"/>
            </w:pPr>
            <w:hyperlink r:id="rId23" w:history="1">
              <w:r w:rsidRPr="00B6447B">
                <w:rPr>
                  <w:color w:val="0000FF"/>
                </w:rPr>
                <w:t>000</w:t>
              </w:r>
            </w:hyperlink>
          </w:p>
        </w:tc>
      </w:tr>
      <w:tr w:rsidR="00541EAB" w:rsidRPr="00B6447B" w:rsidTr="008D1CF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lastRenderedPageBreak/>
              <w:t>ФИНАНСОВЫ</w:t>
            </w:r>
            <w:r>
              <w:t>Й РЕЗУЛЬТАТ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B6447B" w:rsidRDefault="00541EAB" w:rsidP="008D1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41EAB" w:rsidRPr="00B6447B" w:rsidRDefault="00541EAB" w:rsidP="008D1CF5">
            <w:pPr>
              <w:jc w:val="center"/>
              <w:rPr>
                <w:sz w:val="28"/>
                <w:szCs w:val="28"/>
              </w:rPr>
            </w:pPr>
          </w:p>
        </w:tc>
      </w:tr>
      <w:tr w:rsidR="00541EAB" w:rsidRPr="00B6447B" w:rsidTr="008D1CF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t>Доходы будущих периодов к признанию в текущем году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jc w:val="center"/>
              <w:rPr>
                <w:sz w:val="28"/>
                <w:szCs w:val="28"/>
              </w:rPr>
            </w:pPr>
            <w:r w:rsidRPr="000C1EF6"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B6447B" w:rsidRDefault="00541EAB" w:rsidP="008D1CF5">
            <w:pPr>
              <w:pStyle w:val="a4"/>
            </w:pPr>
            <w:r w:rsidRPr="00B6447B"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t>401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 w:rsidRPr="000C1EF6"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B6447B" w:rsidRDefault="00541EAB" w:rsidP="008D1CF5">
            <w:pPr>
              <w:pStyle w:val="a4"/>
            </w:pPr>
            <w:hyperlink r:id="rId24" w:history="1">
              <w:r w:rsidRPr="00B6447B">
                <w:rPr>
                  <w:color w:val="0000FF"/>
                </w:rPr>
                <w:t>000</w:t>
              </w:r>
            </w:hyperlink>
          </w:p>
        </w:tc>
      </w:tr>
      <w:tr w:rsidR="00541EAB" w:rsidRPr="00B6447B" w:rsidTr="008D1CF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rPr>
                <w:sz w:val="28"/>
                <w:szCs w:val="28"/>
              </w:rPr>
            </w:pPr>
            <w:r>
              <w:t xml:space="preserve">Доходы будущих периодов к признанию </w:t>
            </w:r>
            <w:proofErr w:type="gramStart"/>
            <w:r>
              <w:t>в</w:t>
            </w:r>
            <w:proofErr w:type="gramEnd"/>
            <w:r>
              <w:t xml:space="preserve"> очередные года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adjustRightInd w:val="0"/>
              <w:jc w:val="center"/>
              <w:rPr>
                <w:sz w:val="28"/>
                <w:szCs w:val="28"/>
              </w:rPr>
            </w:pPr>
            <w:r w:rsidRPr="000C1EF6">
              <w:t>КРБ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B6447B" w:rsidRDefault="00541EAB" w:rsidP="008D1CF5">
            <w:pPr>
              <w:pStyle w:val="a4"/>
            </w:pPr>
            <w:r w:rsidRPr="00B6447B"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t>401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0C1EF6" w:rsidRDefault="00541EAB" w:rsidP="008D1CF5">
            <w:pPr>
              <w:pStyle w:val="a4"/>
            </w:pPr>
            <w: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B" w:rsidRPr="00B6447B" w:rsidRDefault="00541EAB" w:rsidP="008D1CF5">
            <w:pPr>
              <w:pStyle w:val="a4"/>
            </w:pPr>
            <w:hyperlink r:id="rId25" w:history="1">
              <w:r w:rsidRPr="00B6447B">
                <w:rPr>
                  <w:color w:val="0000FF"/>
                </w:rPr>
                <w:t>000</w:t>
              </w:r>
            </w:hyperlink>
          </w:p>
        </w:tc>
      </w:tr>
    </w:tbl>
    <w:p w:rsidR="00541EAB" w:rsidRPr="00172B48" w:rsidRDefault="00541EAB" w:rsidP="00541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EAB" w:rsidRDefault="00541EAB" w:rsidP="00541EAB">
      <w:pPr>
        <w:tabs>
          <w:tab w:val="left" w:pos="963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1EAB" w:rsidRDefault="00541EAB" w:rsidP="00541EAB">
      <w:pPr>
        <w:pStyle w:val="a7"/>
        <w:numPr>
          <w:ilvl w:val="0"/>
          <w:numId w:val="4"/>
        </w:num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№12 к учетной политике комитета финансов города Курска «Перечень журналов операций» дополнить:</w:t>
      </w:r>
    </w:p>
    <w:tbl>
      <w:tblPr>
        <w:tblW w:w="9781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26"/>
        <w:gridCol w:w="3798"/>
        <w:gridCol w:w="1408"/>
        <w:gridCol w:w="1048"/>
        <w:gridCol w:w="237"/>
        <w:gridCol w:w="1864"/>
      </w:tblGrid>
      <w:tr w:rsidR="00541EAB" w:rsidRPr="001A01FB" w:rsidTr="008D1CF5">
        <w:trPr>
          <w:trHeight w:val="978"/>
        </w:trPr>
        <w:tc>
          <w:tcPr>
            <w:tcW w:w="1426" w:type="dxa"/>
          </w:tcPr>
          <w:p w:rsidR="00541EAB" w:rsidRPr="001A01FB" w:rsidRDefault="00541EAB" w:rsidP="008D1CF5">
            <w:pPr>
              <w:pStyle w:val="TableParagraph"/>
              <w:spacing w:before="15" w:line="310" w:lineRule="atLeast"/>
              <w:ind w:left="160" w:right="163" w:hanging="8"/>
              <w:jc w:val="center"/>
              <w:rPr>
                <w:sz w:val="28"/>
                <w:szCs w:val="28"/>
              </w:rPr>
            </w:pPr>
            <w:proofErr w:type="spellStart"/>
            <w:r w:rsidRPr="001A01FB">
              <w:rPr>
                <w:sz w:val="28"/>
                <w:szCs w:val="28"/>
              </w:rPr>
              <w:t>Номер</w:t>
            </w:r>
            <w:proofErr w:type="spellEnd"/>
            <w:r w:rsidRPr="001A01FB">
              <w:rPr>
                <w:sz w:val="28"/>
                <w:szCs w:val="28"/>
              </w:rPr>
              <w:t xml:space="preserve"> </w:t>
            </w:r>
            <w:proofErr w:type="spellStart"/>
            <w:r w:rsidRPr="001A01FB">
              <w:rPr>
                <w:sz w:val="28"/>
                <w:szCs w:val="28"/>
              </w:rPr>
              <w:t>журнала</w:t>
            </w:r>
            <w:proofErr w:type="spellEnd"/>
            <w:r w:rsidRPr="001A01FB">
              <w:rPr>
                <w:sz w:val="28"/>
                <w:szCs w:val="28"/>
              </w:rPr>
              <w:t xml:space="preserve"> </w:t>
            </w:r>
            <w:proofErr w:type="spellStart"/>
            <w:r w:rsidRPr="001A01FB">
              <w:rPr>
                <w:w w:val="95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491" w:type="dxa"/>
            <w:gridSpan w:val="4"/>
          </w:tcPr>
          <w:p w:rsidR="00541EAB" w:rsidRPr="001A01FB" w:rsidRDefault="00541EAB" w:rsidP="008D1CF5">
            <w:pPr>
              <w:pStyle w:val="TableParagraph"/>
              <w:spacing w:before="189" w:line="254" w:lineRule="auto"/>
              <w:ind w:left="1499" w:right="224" w:hanging="860"/>
              <w:rPr>
                <w:sz w:val="28"/>
                <w:szCs w:val="28"/>
              </w:rPr>
            </w:pPr>
            <w:proofErr w:type="spellStart"/>
            <w:r w:rsidRPr="001A01FB">
              <w:rPr>
                <w:sz w:val="28"/>
                <w:szCs w:val="28"/>
              </w:rPr>
              <w:t>Наименование</w:t>
            </w:r>
            <w:proofErr w:type="spellEnd"/>
            <w:r w:rsidRPr="001A01FB">
              <w:rPr>
                <w:sz w:val="28"/>
                <w:szCs w:val="28"/>
              </w:rPr>
              <w:t xml:space="preserve"> </w:t>
            </w:r>
            <w:proofErr w:type="spellStart"/>
            <w:r w:rsidRPr="001A01FB">
              <w:rPr>
                <w:sz w:val="28"/>
                <w:szCs w:val="28"/>
              </w:rPr>
              <w:t>журнала</w:t>
            </w:r>
            <w:proofErr w:type="spellEnd"/>
            <w:r w:rsidRPr="001A01FB">
              <w:rPr>
                <w:sz w:val="28"/>
                <w:szCs w:val="28"/>
              </w:rPr>
              <w:t xml:space="preserve"> </w:t>
            </w:r>
            <w:proofErr w:type="spellStart"/>
            <w:r w:rsidRPr="001A01FB">
              <w:rPr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1864" w:type="dxa"/>
          </w:tcPr>
          <w:p w:rsidR="00541EAB" w:rsidRPr="001A01FB" w:rsidRDefault="00541EAB" w:rsidP="008D1CF5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541EAB" w:rsidRPr="001A01FB" w:rsidRDefault="00541EAB" w:rsidP="008D1CF5">
            <w:pPr>
              <w:pStyle w:val="a4"/>
            </w:pPr>
            <w:r w:rsidRPr="001A01FB">
              <w:t>Примечание</w:t>
            </w:r>
          </w:p>
        </w:tc>
      </w:tr>
      <w:tr w:rsidR="00541EAB" w:rsidRPr="001A01FB" w:rsidTr="008D1CF5">
        <w:trPr>
          <w:trHeight w:val="326"/>
        </w:trPr>
        <w:tc>
          <w:tcPr>
            <w:tcW w:w="1426" w:type="dxa"/>
          </w:tcPr>
          <w:p w:rsidR="00541EAB" w:rsidRPr="001A01FB" w:rsidRDefault="00541EAB" w:rsidP="008D1CF5">
            <w:pPr>
              <w:pStyle w:val="TableParagraph"/>
              <w:spacing w:before="11" w:line="295" w:lineRule="exact"/>
              <w:ind w:left="65"/>
              <w:jc w:val="center"/>
              <w:rPr>
                <w:sz w:val="28"/>
                <w:szCs w:val="28"/>
              </w:rPr>
            </w:pPr>
            <w:r w:rsidRPr="001A01FB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6491" w:type="dxa"/>
            <w:gridSpan w:val="4"/>
          </w:tcPr>
          <w:p w:rsidR="00541EAB" w:rsidRPr="001A01FB" w:rsidRDefault="00541EAB" w:rsidP="008D1CF5">
            <w:pPr>
              <w:pStyle w:val="TableParagraph"/>
              <w:spacing w:before="11" w:line="295" w:lineRule="exact"/>
              <w:ind w:left="2"/>
              <w:jc w:val="center"/>
              <w:rPr>
                <w:sz w:val="28"/>
                <w:szCs w:val="28"/>
              </w:rPr>
            </w:pPr>
            <w:r w:rsidRPr="001A01FB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541EAB" w:rsidRPr="001A01FB" w:rsidRDefault="00541EAB" w:rsidP="008D1CF5">
            <w:pPr>
              <w:pStyle w:val="TableParagraph"/>
              <w:spacing w:before="11" w:line="295" w:lineRule="exact"/>
              <w:ind w:right="1"/>
              <w:jc w:val="center"/>
              <w:rPr>
                <w:sz w:val="28"/>
                <w:szCs w:val="28"/>
              </w:rPr>
            </w:pPr>
            <w:r w:rsidRPr="001A01FB">
              <w:rPr>
                <w:w w:val="99"/>
                <w:sz w:val="28"/>
                <w:szCs w:val="28"/>
              </w:rPr>
              <w:t>3</w:t>
            </w:r>
          </w:p>
        </w:tc>
      </w:tr>
      <w:tr w:rsidR="00541EAB" w:rsidRPr="001A01FB" w:rsidTr="008D1CF5">
        <w:trPr>
          <w:trHeight w:val="647"/>
        </w:trPr>
        <w:tc>
          <w:tcPr>
            <w:tcW w:w="1426" w:type="dxa"/>
          </w:tcPr>
          <w:p w:rsidR="00541EAB" w:rsidRPr="00026E6A" w:rsidRDefault="00541EAB" w:rsidP="008D1CF5">
            <w:pPr>
              <w:pStyle w:val="Normalunindented"/>
              <w:jc w:val="center"/>
            </w:pPr>
            <w:r>
              <w:t>8-МО</w:t>
            </w:r>
          </w:p>
        </w:tc>
        <w:tc>
          <w:tcPr>
            <w:tcW w:w="3798" w:type="dxa"/>
            <w:tcBorders>
              <w:right w:val="nil"/>
            </w:tcBorders>
          </w:tcPr>
          <w:p w:rsidR="00541EAB" w:rsidRDefault="00541EAB" w:rsidP="008D1CF5">
            <w:pPr>
              <w:pStyle w:val="a4"/>
            </w:pPr>
            <w:r w:rsidRPr="00206170">
              <w:t xml:space="preserve">Журнал операций </w:t>
            </w:r>
            <w:proofErr w:type="spellStart"/>
            <w:r>
              <w:t>межотчетного</w:t>
            </w:r>
            <w:proofErr w:type="spellEnd"/>
            <w:r>
              <w:t xml:space="preserve"> периода</w:t>
            </w: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541EAB" w:rsidRDefault="00541EAB" w:rsidP="008D1CF5"/>
        </w:tc>
        <w:tc>
          <w:tcPr>
            <w:tcW w:w="1048" w:type="dxa"/>
            <w:tcBorders>
              <w:left w:val="nil"/>
              <w:right w:val="nil"/>
            </w:tcBorders>
          </w:tcPr>
          <w:p w:rsidR="00541EAB" w:rsidRDefault="00541EAB" w:rsidP="008D1CF5"/>
        </w:tc>
        <w:tc>
          <w:tcPr>
            <w:tcW w:w="237" w:type="dxa"/>
            <w:tcBorders>
              <w:left w:val="nil"/>
            </w:tcBorders>
          </w:tcPr>
          <w:p w:rsidR="00541EAB" w:rsidRPr="001A01FB" w:rsidRDefault="00541EAB" w:rsidP="008D1CF5"/>
        </w:tc>
        <w:tc>
          <w:tcPr>
            <w:tcW w:w="1864" w:type="dxa"/>
          </w:tcPr>
          <w:p w:rsidR="00541EAB" w:rsidRPr="008042FD" w:rsidRDefault="00541EAB" w:rsidP="008D1CF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541EAB" w:rsidRPr="00026E6A" w:rsidRDefault="00541EAB" w:rsidP="00541EAB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EAB" w:rsidRDefault="00541EAB"/>
    <w:sectPr w:rsidR="00541EAB" w:rsidSect="00B7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D1B"/>
    <w:multiLevelType w:val="hybridMultilevel"/>
    <w:tmpl w:val="FC54B9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6E910F2B"/>
    <w:multiLevelType w:val="multilevel"/>
    <w:tmpl w:val="17F2FB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10A24"/>
    <w:multiLevelType w:val="hybridMultilevel"/>
    <w:tmpl w:val="CDDC3108"/>
    <w:lvl w:ilvl="0" w:tplc="BEB4B3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1EAB"/>
    <w:rsid w:val="00360AE7"/>
    <w:rsid w:val="00541EAB"/>
    <w:rsid w:val="00B7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AB"/>
  </w:style>
  <w:style w:type="paragraph" w:styleId="1">
    <w:name w:val="heading 1"/>
    <w:basedOn w:val="a"/>
    <w:next w:val="a"/>
    <w:link w:val="10"/>
    <w:uiPriority w:val="9"/>
    <w:qFormat/>
    <w:rsid w:val="00541EAB"/>
    <w:pPr>
      <w:keepNext/>
      <w:keepLines/>
      <w:numPr>
        <w:numId w:val="3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1EAB"/>
    <w:pPr>
      <w:numPr>
        <w:ilvl w:val="1"/>
        <w:numId w:val="3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1EAB"/>
    <w:pPr>
      <w:numPr>
        <w:ilvl w:val="2"/>
        <w:numId w:val="3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1EAB"/>
    <w:pPr>
      <w:numPr>
        <w:ilvl w:val="3"/>
        <w:numId w:val="3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41EAB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41EAB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41EAB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41EAB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41EAB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41EAB"/>
    <w:rPr>
      <w:rFonts w:ascii="Arial Unicode MS" w:eastAsia="Arial Unicode MS" w:hAnsi="Arial Unicode MS" w:cs="Arial Unicode MS"/>
      <w:color w:val="000000"/>
    </w:rPr>
  </w:style>
  <w:style w:type="paragraph" w:styleId="a4">
    <w:name w:val="No Spacing"/>
    <w:link w:val="a3"/>
    <w:uiPriority w:val="1"/>
    <w:qFormat/>
    <w:rsid w:val="00541EAB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table" w:styleId="a5">
    <w:name w:val="Table Grid"/>
    <w:basedOn w:val="a1"/>
    <w:uiPriority w:val="59"/>
    <w:rsid w:val="00541EA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1EA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EAB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EAB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EAB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1EAB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1EAB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41EAB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41EAB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41EAB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6">
    <w:name w:val="Hyperlink"/>
    <w:unhideWhenUsed/>
    <w:rsid w:val="00541E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1EAB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541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541EAB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41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AF37B9D3CC72080884405E4333A0C8ACB8D99816B2A7197A8E40B4CC39437887C56292B1D040F01F32A1E8107AA3D39F3083F34D072CSAa4G" TargetMode="External"/><Relationship Id="rId13" Type="http://schemas.openxmlformats.org/officeDocument/2006/relationships/hyperlink" Target="consultantplus://offline/ref=5EB6B43219E6B555D79BF0963387E6F147647B6590D737805F63E6277A1B5854C9E51CCEC215E785BDC68F4BCFA2C898BCA0F526FC47CDH5ICJ" TargetMode="External"/><Relationship Id="rId18" Type="http://schemas.openxmlformats.org/officeDocument/2006/relationships/hyperlink" Target="consultantplus://offline/ref=5EB6B43219E6B555D79BF0963387E6F147647B6590D737805F63E6277A1B5854C9E51CCEC313E587BDC68F4BCFA2C898BCA0F526FC47CDH5IC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585A9B708E5FA2C0F377376C020DEE942CE33001E4881DCD30508F4ACA581AC6AEAF11EEBB66A3C043N" TargetMode="External"/><Relationship Id="rId7" Type="http://schemas.openxmlformats.org/officeDocument/2006/relationships/hyperlink" Target="consultantplus://offline/ref=9D8161AA42813FF2C5CEF20345109A18045E915A4D486592BF0D91A3DD55F1698951AD87C989255BD5FBE19DC40398654393C4422B6702763792395C742FD69D8BDE4C4BBB23d1R3M" TargetMode="External"/><Relationship Id="rId12" Type="http://schemas.openxmlformats.org/officeDocument/2006/relationships/hyperlink" Target="consultantplus://offline/ref=5EB6B43219E6B555D79BF0963387E6F147647B6590D737805F63E6277A1B5854C9E51CCEC212EB84BDC68F4BCFA2C898BCA0F526FC47CDH5ICJ" TargetMode="External"/><Relationship Id="rId17" Type="http://schemas.openxmlformats.org/officeDocument/2006/relationships/hyperlink" Target="consultantplus://offline/ref=5EB6B43219E6B555D79BF0963387E6F147647B6590D737805F63E6277A1B5854C9E51CCEC211E382B2998A5EDEFAC793ABBEF33EE045CF5FH6I4J" TargetMode="External"/><Relationship Id="rId25" Type="http://schemas.openxmlformats.org/officeDocument/2006/relationships/hyperlink" Target="consultantplus://offline/ref=EF585A9B708E5FA2C0F377376C020DEE942CE33001E4881DCD30508F4ACA581AC6AEAF11EEBB66A3C04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B6B43219E6B555D79BF0963387E6F14761766599DA37805F63E6277A1B5854C9E51CCEC213E287B0998A5EDEFAC793ABBEF33EE045CF5FH6I4J" TargetMode="External"/><Relationship Id="rId20" Type="http://schemas.openxmlformats.org/officeDocument/2006/relationships/hyperlink" Target="consultantplus://offline/ref=5EB6B43219E6B555D79BF0963387E6F147647B6590D737805F63E6277A1B5854C9E51CCDC614E38FE2C39A5A97ADC38FA2A6ED3AFE45HCI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11" Type="http://schemas.openxmlformats.org/officeDocument/2006/relationships/hyperlink" Target="consultantplus://offline/ref=C2B94B1A97F3151B3270F545F29ABA47D6E3D42975DC6AE3F166193F2710B005C416B72E04136CFB44C33EC9032CCB171FF392BA9622F8FDY8bBG" TargetMode="External"/><Relationship Id="rId24" Type="http://schemas.openxmlformats.org/officeDocument/2006/relationships/hyperlink" Target="consultantplus://offline/ref=EF585A9B708E5FA2C0F377376C020DEE942CE33001E4881DCD30508F4ACA581AC6AEAF11EEBB66A3C043N" TargetMode="External"/><Relationship Id="rId5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15" Type="http://schemas.openxmlformats.org/officeDocument/2006/relationships/hyperlink" Target="consultantplus://offline/ref=5EB6B43219E6B555D79BF0963387E6F147657E609CD337805F63E6277A1B5854C9E51CCEC213E385BE998A5EDEFAC793ABBEF33EE045CF5FH6I4J" TargetMode="External"/><Relationship Id="rId23" Type="http://schemas.openxmlformats.org/officeDocument/2006/relationships/hyperlink" Target="consultantplus://offline/ref=EF585A9B708E5FA2C0F377376C020DEE942CE33001E4881DCD30508F4ACA581AC6AEAF11EEBB66A3C043N" TargetMode="External"/><Relationship Id="rId10" Type="http://schemas.openxmlformats.org/officeDocument/2006/relationships/hyperlink" Target="consultantplus://offline/ref=EC61AF37B9D3CC72080884405E4333A0C9A4B7DB9918B2A7197A8E40B4CC39437887C5659BB5D143A24522A5A14676BED3832F83ED4ES0aEG" TargetMode="External"/><Relationship Id="rId19" Type="http://schemas.openxmlformats.org/officeDocument/2006/relationships/hyperlink" Target="consultantplus://offline/ref=5EB6B43219E6B555D79BF0963387E6F147657E609CD337805F63E6277A1B5854C9E51CCEC213E280B4998A5EDEFAC793ABBEF33EE045CF5FH6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61AF37B9D3CC72080884405E4333A0C9A4B7DB9918B2A7197A8E40B4CC39437887C56594B8D943A24522A5A14676BED3832F83ED4ES0aEG" TargetMode="External"/><Relationship Id="rId14" Type="http://schemas.openxmlformats.org/officeDocument/2006/relationships/hyperlink" Target="consultantplus://offline/ref=5EB6B43219E6B555D79BF0963387E6F147647B6590D737805F63E6277A1B5854C9E51CCEC215E780BDC68F4BCFA2C898BCA0F526FC47CDH5ICJ" TargetMode="External"/><Relationship Id="rId22" Type="http://schemas.openxmlformats.org/officeDocument/2006/relationships/hyperlink" Target="consultantplus://offline/ref=EF585A9B708E5FA2C0F377376C020DEE942CE33001E4881DCD30508F4ACA581AC6AEAF11EEBB66A3C043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Verba</dc:creator>
  <cp:keywords/>
  <dc:description/>
  <cp:lastModifiedBy>Verba</cp:lastModifiedBy>
  <cp:revision>2</cp:revision>
  <dcterms:created xsi:type="dcterms:W3CDTF">2021-08-24T11:24:00Z</dcterms:created>
  <dcterms:modified xsi:type="dcterms:W3CDTF">2021-08-24T11:25:00Z</dcterms:modified>
</cp:coreProperties>
</file>