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620" w:hanging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>
      <w:pPr>
        <w:pStyle w:val="Normal"/>
        <w:ind w:left="106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620" w:hanging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</w:p>
    <w:p>
      <w:pPr>
        <w:pStyle w:val="Normal"/>
        <w:ind w:left="10620" w:hanging="0"/>
        <w:rPr>
          <w:sz w:val="24"/>
          <w:szCs w:val="24"/>
        </w:rPr>
      </w:pPr>
      <w:r>
        <w:rPr>
          <w:sz w:val="24"/>
          <w:szCs w:val="24"/>
        </w:rPr>
        <w:t>дорожного хозяйства города Курска</w:t>
      </w:r>
    </w:p>
    <w:p>
      <w:pPr>
        <w:pStyle w:val="Normal"/>
        <w:ind w:left="10620" w:hanging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________________ </w:t>
      </w:r>
      <w:r>
        <w:rPr>
          <w:sz w:val="24"/>
          <w:szCs w:val="24"/>
          <w:u w:val="single"/>
        </w:rPr>
        <w:t>Н.С. Сметанников</w:t>
      </w:r>
    </w:p>
    <w:p>
      <w:pPr>
        <w:pStyle w:val="Normal"/>
        <w:ind w:left="10620" w:hanging="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(подпись)                    (расшифровка подписи)</w:t>
      </w:r>
    </w:p>
    <w:p>
      <w:pPr>
        <w:pStyle w:val="Normal"/>
        <w:ind w:left="10620" w:hanging="0"/>
        <w:rPr>
          <w:sz w:val="24"/>
          <w:szCs w:val="24"/>
        </w:rPr>
      </w:pPr>
      <w:r>
        <w:rPr>
          <w:sz w:val="24"/>
          <w:szCs w:val="24"/>
        </w:rPr>
        <w:t>"___» _____________ 20 ___ г.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КАРТА РИСКОВ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Комитета дорожного хозяйства города Курска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2022 год</w:t>
      </w:r>
    </w:p>
    <w:p>
      <w:pPr>
        <w:pStyle w:val="Normal"/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166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2834"/>
        <w:gridCol w:w="2410"/>
        <w:gridCol w:w="2694"/>
        <w:gridCol w:w="2977"/>
        <w:gridCol w:w="1700"/>
        <w:gridCol w:w="1983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08" w:hanging="0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Выявленные риски нарушения антимонопольного законодательства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Описание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рисков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Причины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возникновения рисков и их оценка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Мероприятия по минимизации и  устранению рисков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Наличие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(отсутствие)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остаточных рисков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Вероятность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повторного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возникновения рисков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Подготовка правовых актов, положений, которые приводят или могут привести к нарушению антимонопольного законодательства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Наличие норм в проектах правовых актов, создающих преимущественные или дискриминационные условия для отдельных категорий хозяйствующих субъектов, граждан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Недостаточная проработка проектов нормативных актов;</w:t>
            </w:r>
          </w:p>
          <w:p>
            <w:pPr>
              <w:pStyle w:val="Normal"/>
              <w:widowControl w:val="false"/>
              <w:rPr/>
            </w:pPr>
            <w:r>
              <w:rPr/>
              <w:t>Издание и согласование правовых актов, которые могут привести к ограничению деятельности хозяйствующим субъектам, недопущению, ограничению, устранению конкуренции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 Информирование работников комитета об основных положениях антимонопольного законодательства</w:t>
            </w:r>
          </w:p>
          <w:p>
            <w:pPr>
              <w:pStyle w:val="Normal"/>
              <w:widowControl w:val="false"/>
              <w:rPr/>
            </w:pPr>
            <w:r>
              <w:rPr/>
              <w:t>2.  Анализ проектов внутренних локальных актов на предмет их соответствия антимонопольному законодательству</w:t>
            </w:r>
          </w:p>
          <w:p>
            <w:pPr>
              <w:pStyle w:val="Normal"/>
              <w:widowControl w:val="false"/>
              <w:rPr/>
            </w:pPr>
            <w:r>
              <w:rPr/>
              <w:t>3. Анализ проектов документаций о закупке на предмет их соответствия антимонопольному законодательству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Риск присутствует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Минимальная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Действия, которые приводят или могут привести к недопущению, ограничению или устранению конкуренции, предусмотренные статьей 17 Федерального закона № 135-ФЗ от 26.07.2006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Наличие норм в проектах правовых актов, создающих преимущественные или дискриминационные условия для отдельных категорий хозяйствующих субъектов при осуществлении деятельности комитета законодательства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 Установление субъективного порядка оценки заявок</w:t>
            </w:r>
          </w:p>
          <w:p>
            <w:pPr>
              <w:pStyle w:val="Normal"/>
              <w:widowControl w:val="false"/>
              <w:rPr/>
            </w:pPr>
            <w:r>
              <w:rPr/>
              <w:t>2. Создание участникам закупок преимущественных условий для участия в торгах, в том числе доступ к информации</w:t>
            </w:r>
          </w:p>
          <w:p>
            <w:pPr>
              <w:pStyle w:val="Normal"/>
              <w:widowControl w:val="false"/>
              <w:rPr/>
            </w:pPr>
            <w:r>
              <w:rPr/>
              <w:t>3. Включение в состав лотов товаров, работ, услуг технологически и функционально не связанных с товарами, работами, услугами, поставки выполнения, оказание которых не является предметом закупки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 Правовая экспертиза проекта документации о закупке. Использование типовых критериев оценки заявок.</w:t>
            </w:r>
          </w:p>
          <w:p>
            <w:pPr>
              <w:pStyle w:val="Normal"/>
              <w:widowControl w:val="false"/>
              <w:rPr/>
            </w:pPr>
            <w:r>
              <w:rPr/>
              <w:t>2. Информирование муниципальных служащих об ответственности за несоблюдение антимонопольного законодательства.</w:t>
            </w:r>
          </w:p>
          <w:p>
            <w:pPr>
              <w:pStyle w:val="Normal"/>
              <w:widowControl w:val="false"/>
              <w:rPr/>
            </w:pPr>
            <w:r>
              <w:rPr/>
              <w:t>3. Тщательная проработка технических заданий документации о закупке. Правовая экспертиза проекта документации о закупке.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Риск присутствует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Минимальная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Осуществление закупок товаров, работ, услуг для обеспечения государственных (муниципальных) нужд с нарушением требований антимонопольного законодательства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 Установление субъективного порядка оценки заявок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2. Создание участникам закупок преимущественных условий для участия в торгах, в том числе доступ к информации </w:t>
            </w:r>
          </w:p>
          <w:p>
            <w:pPr>
              <w:pStyle w:val="Normal"/>
              <w:widowControl w:val="false"/>
              <w:rPr/>
            </w:pPr>
            <w:r>
              <w:rPr/>
              <w:t>3. Включение в состав лотов товаров, работ, услуг технологически и функционально не связанных с товарами, работами, услугами, поставки выполнения, оказание которых не является предметом закупки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 Правовая экспертиза проекта документации о закупке. Использование типовых критериев оценки заявок.</w:t>
            </w:r>
          </w:p>
          <w:p>
            <w:pPr>
              <w:pStyle w:val="Normal"/>
              <w:widowControl w:val="false"/>
              <w:rPr/>
            </w:pPr>
            <w:r>
              <w:rPr/>
              <w:t>2. Информирование муниципальных служащих об ответственности за несоблюдение антимонопольного законодательства.</w:t>
            </w:r>
          </w:p>
          <w:p>
            <w:pPr>
              <w:pStyle w:val="Normal"/>
              <w:widowControl w:val="false"/>
              <w:rPr/>
            </w:pPr>
            <w:r>
              <w:rPr/>
              <w:t>3. Тщательная проработка технических заданий документации о закупке. Правовая экспертиза проекта документации о закупке.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Риск присутствует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Минимальная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Нарушение антимонопольного законодательства при подготовке ответов на обращения граждан и юридических лиц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Нарушение сроков рассмотрения обращений граждан и юридических лиц;</w:t>
            </w:r>
          </w:p>
          <w:p>
            <w:pPr>
              <w:pStyle w:val="Normal"/>
              <w:widowControl w:val="false"/>
              <w:rPr/>
            </w:pPr>
            <w:r>
              <w:rPr/>
              <w:t>Необоснованное затягивание процесса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 Недостаточный уровень квалификации муниципальных служащих комитета, в чьи должностные обязанности входят полномочия по рассмотрению обращений граждан и юридических лиц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2. Влияние субъективных факторов (эмоциональное восприятие информации, личная заинтересованность в результатах рассмотрения обращения гражданина или юридического лица, иных обстоятельств) на рассмотрение обращений граждан и юридических лиц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 Проведение анализа нарушений требований Федерального закона от 2 мая 2006 года № 59-ФЗ «О порядке рассмотрения обращений граждан Российской Федерации»</w:t>
            </w:r>
          </w:p>
          <w:p>
            <w:pPr>
              <w:pStyle w:val="Normal"/>
              <w:widowControl w:val="false"/>
              <w:rPr/>
            </w:pPr>
            <w:r>
              <w:rPr/>
              <w:t>2. Осуществление текущего контроля за рассмотрением обращений граждан и юридических лиц, а также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Отсутствие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Низкая</w:t>
            </w:r>
          </w:p>
        </w:tc>
      </w:tr>
    </w:tbl>
    <w:p>
      <w:pPr>
        <w:pStyle w:val="Normal"/>
        <w:ind w:left="720" w:hanging="0"/>
        <w:rPr/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ind w:left="10620" w:hanging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>
      <w:pPr>
        <w:pStyle w:val="Normal"/>
        <w:ind w:left="106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620" w:hanging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</w:p>
    <w:p>
      <w:pPr>
        <w:pStyle w:val="Normal"/>
        <w:ind w:left="10620" w:hanging="0"/>
        <w:rPr>
          <w:sz w:val="24"/>
          <w:szCs w:val="24"/>
        </w:rPr>
      </w:pPr>
      <w:r>
        <w:rPr>
          <w:sz w:val="24"/>
          <w:szCs w:val="24"/>
        </w:rPr>
        <w:t>дорожного хозяйства города Курска</w:t>
      </w:r>
    </w:p>
    <w:p>
      <w:pPr>
        <w:pStyle w:val="Normal"/>
        <w:ind w:left="10620" w:hanging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________________ </w:t>
      </w:r>
      <w:r>
        <w:rPr>
          <w:sz w:val="24"/>
          <w:szCs w:val="24"/>
          <w:u w:val="single"/>
        </w:rPr>
        <w:t>Н.С. Сметанников</w:t>
      </w:r>
    </w:p>
    <w:p>
      <w:pPr>
        <w:pStyle w:val="Normal"/>
        <w:ind w:left="10620" w:hanging="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(подпись)                    (расшифровка подписи)</w:t>
      </w:r>
    </w:p>
    <w:p>
      <w:pPr>
        <w:pStyle w:val="Normal"/>
        <w:ind w:left="10620" w:hanging="0"/>
        <w:rPr>
          <w:sz w:val="24"/>
          <w:szCs w:val="24"/>
        </w:rPr>
      </w:pPr>
      <w:r>
        <w:rPr>
          <w:sz w:val="24"/>
          <w:szCs w:val="24"/>
        </w:rPr>
        <w:t>"___» _____________ 20 ___ г.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мероприятий по снижению рисков  </w:t>
      </w:r>
    </w:p>
    <w:p>
      <w:pPr>
        <w:pStyle w:val="Normal"/>
        <w:ind w:left="-142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нарушения антимонопольного законодательства («дорожная карта»)</w:t>
      </w:r>
    </w:p>
    <w:p>
      <w:pPr>
        <w:pStyle w:val="Normal"/>
        <w:ind w:left="-142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Комитета дорожного хозяйства города Курска на 2022 год</w:t>
      </w:r>
    </w:p>
    <w:p>
      <w:pPr>
        <w:pStyle w:val="Normal"/>
        <w:ind w:left="7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459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3119"/>
        <w:gridCol w:w="4819"/>
        <w:gridCol w:w="1986"/>
        <w:gridCol w:w="1700"/>
        <w:gridCol w:w="2268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Мероприятия по снижению рисков нарушения антимонопольного законодательства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Описание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действий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Ответственный исполнитель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Показатель результата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Проведение внутреннего мониторинга и анализа практики применения антимонопольного законодательства, законодательства о закупках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 Проведение внутреннего мониторинга и анализа практики применения антимонопольного законодательства за предыдущие 3 года (наличие предостережений, предупреждений, штрафов, жалоб, возбужденных дел) путем поступивших в комитет сведений о наличии нарушений антимонопольного законодательства</w:t>
            </w:r>
          </w:p>
          <w:p>
            <w:pPr>
              <w:pStyle w:val="Normal"/>
              <w:widowControl w:val="false"/>
              <w:rPr/>
            </w:pPr>
            <w:r>
              <w:rPr/>
              <w:t>2. Проведение анализа изменений антимонопольного законодательства и законодательства о закупках</w:t>
            </w:r>
          </w:p>
          <w:p>
            <w:pPr>
              <w:pStyle w:val="Normal"/>
              <w:widowControl w:val="false"/>
              <w:rPr/>
            </w:pPr>
            <w:r>
              <w:rPr/>
              <w:t>3. Участие в работе круглых столов, обучающих семинаров-совещаний, по вопросам практики применения антимонопольного законодательства, законодательства в сфере закупок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Заместитель председателя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 течение года, 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Проведение анализа нормативных правовых актов и проектов нормативных правовых актов комитета на предмет соответствия антимонопольному законодательству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 Проведение анализа нормативных правовых актов на предмет соответствия антимонопольному законодательству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2. Проведение процедуры согласования проектов нормативных правовых актов </w:t>
            </w:r>
          </w:p>
          <w:p>
            <w:pPr>
              <w:pStyle w:val="Normal"/>
              <w:widowControl w:val="false"/>
              <w:rPr/>
            </w:pPr>
            <w:r>
              <w:rPr/>
              <w:t>3. Проведение оценки регулирующего воздействия проектов нормативных правовых актов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Заместитель председателя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 течение года, 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Проведение мероприятий по предотвращению конфликта интересов муниципальных служащих комитета, в чьи должностные обязанности входят полномочия по проведению закупок товаров, работ, услуг для обеспечения государственных (муниципальных) нужд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 Ознакомление муниципальных служащих с нормативными правовыми актами в сфере антимонопольного законодательства, в том числе об антимонопольном комплаенсе</w:t>
            </w:r>
          </w:p>
          <w:p>
            <w:pPr>
              <w:pStyle w:val="Normal"/>
              <w:widowControl w:val="false"/>
              <w:rPr/>
            </w:pPr>
            <w:r>
              <w:rPr/>
              <w:t>2. Проведение мероприятий по выявлению фактов несоблюдения муниципальными служащими комитета ограничений, запретов и 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>
            <w:pPr>
              <w:pStyle w:val="Normal"/>
              <w:widowControl w:val="false"/>
              <w:rPr/>
            </w:pPr>
            <w:r>
              <w:rPr/>
              <w:t>3. Оказание консультативной помощи по вопросам, связанным с применением законодательства о противодействии коррупции, антимонопольном законодательстве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Заместитель председателя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 течение года, 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Предотвращение нарушений антимонопольного законодательства при осуществлении закупок товаров, работ, услуг для обеспечения государственных (муниципальных) нужд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 Подготовка документации по осуществлению закупок товаров, работ, услуг для обеспечения государственных (муниципальных) нужд в соответствии с требованиями законодательства в сфере закупок</w:t>
            </w:r>
          </w:p>
          <w:p>
            <w:pPr>
              <w:pStyle w:val="Normal"/>
              <w:widowControl w:val="false"/>
              <w:rPr/>
            </w:pPr>
            <w:r>
              <w:rPr/>
              <w:t>2. Повышение квалификации ответственных должностных лиц по осуществлению закупок товаров, работ, услуг для обеспечения государственных (муниципальных) нужд (участие в семинарах, курсах повышения квалификации)</w:t>
            </w:r>
          </w:p>
          <w:p>
            <w:pPr>
              <w:pStyle w:val="Normal"/>
              <w:widowControl w:val="false"/>
              <w:rPr/>
            </w:pPr>
            <w:r>
              <w:rPr/>
              <w:t>3. Взаимодействие с антимонопольным органом, в том числе организация содействия ему в части, касающейся вопросов, связанных с проводимыми проверками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Заместитель председателя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 течение года, 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Сокращение вероятности наступления комплаенс-риска, недопущение нарушений антимонопольного законодательства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ind w:firstLine="709"/>
        <w:jc w:val="both"/>
        <w:rPr/>
      </w:pPr>
      <w:r>
        <w:rPr/>
      </w:r>
    </w:p>
    <w:p>
      <w:pPr>
        <w:pStyle w:val="Normal"/>
        <w:ind w:left="5387" w:hanging="0"/>
        <w:jc w:val="center"/>
        <w:rPr/>
      </w:pPr>
      <w:r>
        <w:rPr/>
      </w:r>
    </w:p>
    <w:p>
      <w:pPr>
        <w:pStyle w:val="Normal"/>
        <w:ind w:left="5387" w:hanging="0"/>
        <w:jc w:val="center"/>
        <w:rPr/>
      </w:pPr>
      <w:r>
        <w:rPr/>
      </w:r>
    </w:p>
    <w:p>
      <w:pPr>
        <w:pStyle w:val="Normal"/>
        <w:ind w:left="5387" w:hanging="0"/>
        <w:jc w:val="center"/>
        <w:rPr/>
      </w:pPr>
      <w:r>
        <w:rPr/>
      </w:r>
    </w:p>
    <w:p>
      <w:pPr>
        <w:pStyle w:val="Normal"/>
        <w:ind w:left="5387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851" w:header="0" w:top="141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0e8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ja-JP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e14e8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Application>LibreOffice/7.1.6.2$Windows_X86_64 LibreOffice_project/0e133318fcee89abacd6a7d077e292f1145735c3</Application>
  <AppVersion>15.0000</AppVersion>
  <Pages>5</Pages>
  <Words>933</Words>
  <Characters>7427</Characters>
  <CharactersWithSpaces>8338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2021-12-22T16:16:00Z</dcterms:created>
  <dc:creator>Пользователь</dc:creator>
  <dc:description/>
  <dc:language>ru-RU</dc:language>
  <cp:lastModifiedBy>Пользователь</cp:lastModifiedBy>
  <cp:lastPrinted>2021-12-23T09:05:00Z</cp:lastPrinted>
  <dcterms:modified xsi:type="dcterms:W3CDTF">2021-12-23T09:05:00Z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