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F3" w:rsidRDefault="00D569F3" w:rsidP="00D569F3">
      <w:pPr>
        <w:pStyle w:val="31"/>
        <w:shd w:val="clear" w:color="auto" w:fill="auto"/>
        <w:spacing w:before="0" w:after="0" w:line="293" w:lineRule="exact"/>
        <w:ind w:left="680"/>
        <w:jc w:val="center"/>
        <w:rPr>
          <w:szCs w:val="28"/>
        </w:rPr>
      </w:pPr>
      <w:r w:rsidRPr="001C5CCB">
        <w:rPr>
          <w:szCs w:val="28"/>
        </w:rPr>
        <w:t xml:space="preserve">Карта </w:t>
      </w:r>
      <w:bookmarkStart w:id="0" w:name="_GoBack"/>
      <w:bookmarkEnd w:id="0"/>
      <w:r w:rsidRPr="001C5CCB">
        <w:rPr>
          <w:szCs w:val="28"/>
        </w:rPr>
        <w:t xml:space="preserve">рисков </w:t>
      </w:r>
      <w:r>
        <w:rPr>
          <w:szCs w:val="28"/>
        </w:rPr>
        <w:t>а</w:t>
      </w:r>
      <w:r w:rsidRPr="001C5CCB">
        <w:rPr>
          <w:szCs w:val="28"/>
        </w:rPr>
        <w:t xml:space="preserve">дминистрации </w:t>
      </w:r>
      <w:r>
        <w:rPr>
          <w:szCs w:val="28"/>
        </w:rPr>
        <w:t>Железнодорожного округа города Курска на 2022 год</w:t>
      </w:r>
    </w:p>
    <w:p w:rsidR="00D569F3" w:rsidRDefault="00D569F3" w:rsidP="00D569F3">
      <w:pPr>
        <w:pStyle w:val="31"/>
        <w:shd w:val="clear" w:color="auto" w:fill="auto"/>
        <w:spacing w:before="0" w:after="0" w:line="293" w:lineRule="exact"/>
        <w:ind w:left="680"/>
        <w:jc w:val="center"/>
        <w:rPr>
          <w:szCs w:val="28"/>
        </w:rPr>
      </w:pPr>
    </w:p>
    <w:p w:rsidR="00D569F3" w:rsidRDefault="00D569F3" w:rsidP="00D569F3">
      <w:pPr>
        <w:pStyle w:val="31"/>
        <w:shd w:val="clear" w:color="auto" w:fill="auto"/>
        <w:spacing w:before="0" w:after="0" w:line="293" w:lineRule="exact"/>
        <w:ind w:left="680"/>
        <w:jc w:val="center"/>
        <w:rPr>
          <w:szCs w:val="28"/>
        </w:rPr>
      </w:pP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486"/>
        <w:gridCol w:w="2344"/>
        <w:gridCol w:w="2948"/>
        <w:gridCol w:w="3148"/>
        <w:gridCol w:w="3402"/>
        <w:gridCol w:w="1417"/>
        <w:gridCol w:w="1418"/>
      </w:tblGrid>
      <w:tr w:rsidR="00D569F3" w:rsidRPr="00B178F0" w:rsidTr="000C6C41">
        <w:tc>
          <w:tcPr>
            <w:tcW w:w="486" w:type="dxa"/>
          </w:tcPr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4" w:type="dxa"/>
          </w:tcPr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риски нарушения антимонопольного законодательства </w:t>
            </w:r>
          </w:p>
        </w:tc>
        <w:tc>
          <w:tcPr>
            <w:tcW w:w="2948" w:type="dxa"/>
          </w:tcPr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рисков</w:t>
            </w:r>
          </w:p>
        </w:tc>
        <w:tc>
          <w:tcPr>
            <w:tcW w:w="3148" w:type="dxa"/>
          </w:tcPr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</w:p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возникновения рисков и их оценка</w:t>
            </w:r>
          </w:p>
        </w:tc>
        <w:tc>
          <w:tcPr>
            <w:tcW w:w="3402" w:type="dxa"/>
          </w:tcPr>
          <w:p w:rsidR="00D569F3" w:rsidRPr="00B178F0" w:rsidRDefault="00D569F3" w:rsidP="0089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Мероприятия по минимизации и  устранению рисков</w:t>
            </w:r>
          </w:p>
        </w:tc>
        <w:tc>
          <w:tcPr>
            <w:tcW w:w="1417" w:type="dxa"/>
          </w:tcPr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(отсутствие)</w:t>
            </w:r>
          </w:p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остаточных рисков</w:t>
            </w:r>
          </w:p>
        </w:tc>
        <w:tc>
          <w:tcPr>
            <w:tcW w:w="1418" w:type="dxa"/>
          </w:tcPr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</w:t>
            </w:r>
          </w:p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повторного</w:t>
            </w:r>
          </w:p>
          <w:p w:rsidR="00D569F3" w:rsidRPr="00B178F0" w:rsidRDefault="00D569F3" w:rsidP="0089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возникновения рисков</w:t>
            </w:r>
          </w:p>
        </w:tc>
      </w:tr>
      <w:tr w:rsidR="00D569F3" w:rsidRPr="00B178F0" w:rsidTr="000C6C41">
        <w:tc>
          <w:tcPr>
            <w:tcW w:w="486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178F0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Подготовка правовых актов, положения которых привели или могут привести к нарушению антимонопольного законодательства</w:t>
            </w:r>
          </w:p>
        </w:tc>
        <w:tc>
          <w:tcPr>
            <w:tcW w:w="2948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н</w:t>
            </w:r>
            <w:r w:rsidRPr="00B178F0">
              <w:rPr>
                <w:sz w:val="20"/>
                <w:szCs w:val="20"/>
              </w:rPr>
              <w:t>аличие норм в проектах правовых актов, создающих преимущественные или дискриминационные условия для отдельных категорий хозяйствующих субъектов, граждан</w:t>
            </w:r>
          </w:p>
        </w:tc>
        <w:tc>
          <w:tcPr>
            <w:tcW w:w="3148" w:type="dxa"/>
          </w:tcPr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154"/>
              </w:tabs>
              <w:spacing w:before="0" w:after="0" w:line="240" w:lineRule="auto"/>
              <w:ind w:right="274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 xml:space="preserve">- недостаточные знания </w:t>
            </w:r>
            <w:r w:rsidRPr="00B178F0">
              <w:rPr>
                <w:rStyle w:val="21"/>
                <w:sz w:val="20"/>
                <w:szCs w:val="20"/>
              </w:rPr>
              <w:t>сотрудниками антимонопольного законодательства</w:t>
            </w:r>
            <w:r>
              <w:rPr>
                <w:rStyle w:val="21"/>
                <w:sz w:val="20"/>
                <w:szCs w:val="20"/>
              </w:rPr>
              <w:t>;</w:t>
            </w:r>
            <w:r w:rsidRPr="00B178F0">
              <w:rPr>
                <w:rStyle w:val="21"/>
                <w:sz w:val="20"/>
                <w:szCs w:val="20"/>
              </w:rPr>
              <w:t xml:space="preserve"> 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здание и согласование правовых актов, положений, которые могут привести к ограничению деятельности хозяйствующим субъектам, недопущению, ограничению, устранению конкуренции.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- повышение квалификации сотрудников, ответственных за подготовку правовых актов,</w:t>
            </w:r>
            <w:r w:rsidRPr="00B178F0">
              <w:rPr>
                <w:sz w:val="20"/>
                <w:szCs w:val="20"/>
              </w:rPr>
              <w:t xml:space="preserve"> консультирование муниципальных служащих, в чьи должностные обязанности входят полномочия по подготовке проектов правовых актов</w:t>
            </w:r>
            <w:r w:rsidRPr="00B178F0">
              <w:rPr>
                <w:rStyle w:val="21"/>
                <w:sz w:val="20"/>
                <w:szCs w:val="20"/>
              </w:rPr>
              <w:t>;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rPr>
                <w:rStyle w:val="21"/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- анализ проектов правовых актов на соответствие требованиям антимонопольного законодательства;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роведение процедуры согласования проектов правовых актов;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согласования и оценки регулирующего воздействия проектов правовых актов. </w:t>
            </w:r>
          </w:p>
        </w:tc>
        <w:tc>
          <w:tcPr>
            <w:tcW w:w="1417" w:type="dxa"/>
          </w:tcPr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Риск присутствует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F3" w:rsidRPr="00B178F0" w:rsidTr="000C6C41">
        <w:tc>
          <w:tcPr>
            <w:tcW w:w="486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подготовке ответов на обращения граждан и юридических лиц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ind w:left="131" w:right="147"/>
              <w:jc w:val="both"/>
              <w:rPr>
                <w:rStyle w:val="21"/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rPr>
                <w:rStyle w:val="21"/>
                <w:sz w:val="20"/>
                <w:szCs w:val="20"/>
              </w:rPr>
            </w:pPr>
            <w:r w:rsidRPr="00B178F0">
              <w:rPr>
                <w:sz w:val="20"/>
                <w:szCs w:val="20"/>
              </w:rPr>
              <w:t xml:space="preserve">нарушение сроков рассмотрения обращений граждан и юридических лиц; необоснованное затягивание процесса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</w:t>
            </w:r>
            <w:r w:rsidRPr="00B178F0">
              <w:rPr>
                <w:sz w:val="20"/>
                <w:szCs w:val="20"/>
              </w:rPr>
              <w:lastRenderedPageBreak/>
              <w:t>очередных обращений</w:t>
            </w:r>
          </w:p>
        </w:tc>
        <w:tc>
          <w:tcPr>
            <w:tcW w:w="3148" w:type="dxa"/>
          </w:tcPr>
          <w:p w:rsidR="00D569F3" w:rsidRPr="00B178F0" w:rsidRDefault="00D569F3" w:rsidP="000C6C41">
            <w:pPr>
              <w:autoSpaceDE w:val="0"/>
              <w:autoSpaceDN w:val="0"/>
              <w:adjustRightInd w:val="0"/>
              <w:ind w:left="117" w:right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Style w:val="21"/>
                <w:rFonts w:eastAsiaTheme="minorEastAsia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едостаточный уровень квалификации муниципальных служащих, в чьи должностные обязанности входят полномочия по рассмотрению обращений граждан и юридических лиц.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ind w:left="117" w:right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Влияние субъективных факторов (эмоциональное </w:t>
            </w:r>
            <w:r w:rsidRPr="00B17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информации, личная заинтересованность в результатах рассмотрения обращения гражданина или юридического лица, иных обстоятельств) на рассмотрение обращений граждан и юридических лиц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283"/>
              </w:tabs>
              <w:spacing w:before="0" w:after="0" w:line="240" w:lineRule="auto"/>
              <w:ind w:left="117" w:right="274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-отсутствие контрол</w:t>
            </w:r>
            <w:r>
              <w:rPr>
                <w:rStyle w:val="21"/>
                <w:sz w:val="20"/>
                <w:szCs w:val="20"/>
              </w:rPr>
              <w:t>я со стороны руководителя.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274"/>
              </w:tabs>
              <w:spacing w:before="0" w:after="0" w:line="240" w:lineRule="auto"/>
              <w:ind w:left="117" w:right="274"/>
              <w:rPr>
                <w:rStyle w:val="21"/>
                <w:sz w:val="20"/>
                <w:szCs w:val="20"/>
              </w:rPr>
            </w:pPr>
          </w:p>
        </w:tc>
        <w:tc>
          <w:tcPr>
            <w:tcW w:w="3402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rPr>
                <w:rStyle w:val="21"/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lastRenderedPageBreak/>
              <w:t>- повышение квалификации сотрудников, ответственных за работу с обращениями граждан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нарушений требований Федерального </w:t>
            </w:r>
            <w:hyperlink r:id="rId6" w:history="1">
              <w:r w:rsidRPr="00B178F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закона</w:t>
              </w:r>
            </w:hyperlink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 от 2 мая 2006 года N 59-ФЗ "О порядке рассмотрения обращений граждан Российской Федерации".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текущего </w:t>
            </w:r>
            <w:proofErr w:type="gramStart"/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178F0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рассмотрением обращений граждан и юридических лиц, а также </w:t>
            </w:r>
            <w:r w:rsidRPr="00B17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мер по повышению результативности и эффективности работы с указанными обращениями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rPr>
                <w:rStyle w:val="2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418" w:type="dxa"/>
          </w:tcPr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</w:tr>
      <w:tr w:rsidR="00D569F3" w:rsidRPr="00B178F0" w:rsidTr="000C6C41">
        <w:tc>
          <w:tcPr>
            <w:tcW w:w="486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44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ind w:left="131" w:right="147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Создание необоснованных преимуществ юридическим и физическим лицам при предоставлении государственных и муниципальных услуг</w:t>
            </w:r>
          </w:p>
        </w:tc>
        <w:tc>
          <w:tcPr>
            <w:tcW w:w="2948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ind w:right="5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B178F0">
              <w:rPr>
                <w:color w:val="000000" w:themeColor="text1"/>
                <w:sz w:val="20"/>
                <w:szCs w:val="20"/>
              </w:rPr>
              <w:t>апрос дополнительных документов, нарушение сроков предоставления услуги, необоснованный отказ в предоставлении услуги</w:t>
            </w:r>
          </w:p>
        </w:tc>
        <w:tc>
          <w:tcPr>
            <w:tcW w:w="3148" w:type="dxa"/>
          </w:tcPr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274"/>
              </w:tabs>
              <w:spacing w:before="0" w:after="0" w:line="240" w:lineRule="auto"/>
              <w:ind w:left="117" w:right="274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-наличие не выявленного конфликта интересов;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274"/>
              </w:tabs>
              <w:spacing w:before="0" w:after="0" w:line="240" w:lineRule="auto"/>
              <w:ind w:left="117" w:right="274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-не</w:t>
            </w:r>
            <w:r>
              <w:rPr>
                <w:rStyle w:val="21"/>
                <w:sz w:val="20"/>
                <w:szCs w:val="20"/>
              </w:rPr>
              <w:t xml:space="preserve">достаточное </w:t>
            </w:r>
            <w:r w:rsidRPr="00B178F0">
              <w:rPr>
                <w:rStyle w:val="21"/>
                <w:sz w:val="20"/>
                <w:szCs w:val="20"/>
              </w:rPr>
              <w:t>знание сотрудниками антимонопольного законодательства</w:t>
            </w:r>
          </w:p>
        </w:tc>
        <w:tc>
          <w:tcPr>
            <w:tcW w:w="3402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ind w:right="540"/>
              <w:rPr>
                <w:rStyle w:val="21"/>
                <w:color w:val="000000" w:themeColor="text1"/>
                <w:sz w:val="20"/>
                <w:szCs w:val="20"/>
              </w:rPr>
            </w:pPr>
            <w:r w:rsidRPr="00B178F0">
              <w:rPr>
                <w:rStyle w:val="21"/>
                <w:color w:val="000000" w:themeColor="text1"/>
                <w:sz w:val="20"/>
                <w:szCs w:val="20"/>
              </w:rPr>
              <w:t>- распределение полномочий по рассмотрению заявлений об оказании услуги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ind w:right="540"/>
              <w:rPr>
                <w:color w:val="000000" w:themeColor="text1"/>
                <w:sz w:val="20"/>
                <w:szCs w:val="20"/>
              </w:rPr>
            </w:pPr>
            <w:r w:rsidRPr="00B178F0">
              <w:rPr>
                <w:rStyle w:val="21"/>
                <w:color w:val="000000" w:themeColor="text1"/>
                <w:sz w:val="20"/>
                <w:szCs w:val="20"/>
              </w:rPr>
              <w:t xml:space="preserve"> - повышения квалификации сотрудников, ответственных за рассмотрение заявлений об оказании услуги (программы самообразования и повышения квалификации)</w:t>
            </w:r>
          </w:p>
        </w:tc>
        <w:tc>
          <w:tcPr>
            <w:tcW w:w="1417" w:type="dxa"/>
          </w:tcPr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</w:tcPr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</w:tr>
      <w:tr w:rsidR="00D569F3" w:rsidRPr="00B178F0" w:rsidTr="000C6C41">
        <w:tc>
          <w:tcPr>
            <w:tcW w:w="486" w:type="dxa"/>
          </w:tcPr>
          <w:p w:rsidR="00D569F3" w:rsidRPr="00B178F0" w:rsidRDefault="00081990" w:rsidP="000C6C41">
            <w:pPr>
              <w:pStyle w:val="3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ind w:left="131" w:right="147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Нарушения антимонопольного законодательства в сфере закупок для муниципальных нужд: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1210"/>
              </w:tabs>
              <w:spacing w:before="0" w:after="0" w:line="240" w:lineRule="auto"/>
              <w:ind w:left="131" w:right="14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8" w:type="dxa"/>
          </w:tcPr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254"/>
              </w:tabs>
              <w:spacing w:before="0" w:after="0" w:line="240" w:lineRule="auto"/>
              <w:ind w:left="131" w:right="147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-нарушение порядка определения победителя или победителей запроса предложений;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235"/>
              </w:tabs>
              <w:spacing w:before="0" w:after="0" w:line="240" w:lineRule="auto"/>
              <w:ind w:left="131" w:right="147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-не предусмотренное федеральными законами или иными нормативными правовыми актами ограничение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spacing w:before="0" w:after="0" w:line="240" w:lineRule="auto"/>
              <w:ind w:left="131" w:right="14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78F0">
              <w:rPr>
                <w:rStyle w:val="21"/>
                <w:sz w:val="20"/>
                <w:szCs w:val="20"/>
              </w:rPr>
              <w:t>доступа к участию в торгах, запросе котировок, запросе предложений;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1210"/>
              </w:tabs>
              <w:spacing w:before="0" w:after="0" w:line="240" w:lineRule="auto"/>
              <w:ind w:left="131" w:right="14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78F0">
              <w:rPr>
                <w:rStyle w:val="21"/>
                <w:sz w:val="20"/>
                <w:szCs w:val="20"/>
              </w:rPr>
              <w:t>-установление непредусмотренных законодательством Российской Федерации требований к товарам или хозяйствующим субъектам;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876"/>
              </w:tabs>
              <w:spacing w:before="0" w:after="0" w:line="240" w:lineRule="auto"/>
              <w:ind w:left="130" w:right="130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 xml:space="preserve">-ограничение конкуренции </w:t>
            </w:r>
            <w:r w:rsidRPr="00B178F0">
              <w:rPr>
                <w:rStyle w:val="21"/>
                <w:sz w:val="20"/>
                <w:szCs w:val="20"/>
              </w:rPr>
              <w:lastRenderedPageBreak/>
              <w:t>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3148" w:type="dxa"/>
          </w:tcPr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278"/>
              </w:tabs>
              <w:spacing w:before="0" w:after="0" w:line="240" w:lineRule="auto"/>
              <w:ind w:left="117" w:right="274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lastRenderedPageBreak/>
              <w:t>-отсутствие достаточной квалификации сотрудников, осуществляющих подготовку и проведение закупки;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144"/>
              </w:tabs>
              <w:spacing w:before="0" w:after="0" w:line="240" w:lineRule="auto"/>
              <w:ind w:left="117" w:right="274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-высокая нагрузка на сотрудников;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149"/>
              </w:tabs>
              <w:spacing w:before="0" w:after="0" w:line="240" w:lineRule="auto"/>
              <w:ind w:left="117" w:right="274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>-нарушение порядка и сроков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278"/>
              </w:tabs>
              <w:spacing w:before="0" w:after="0" w:line="240" w:lineRule="auto"/>
              <w:ind w:left="117" w:right="274"/>
              <w:rPr>
                <w:rStyle w:val="21"/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 xml:space="preserve">размещения документации о закупке; </w:t>
            </w:r>
          </w:p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278"/>
              </w:tabs>
              <w:spacing w:before="0" w:after="0" w:line="240" w:lineRule="auto"/>
              <w:ind w:left="117" w:right="274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1"/>
                <w:sz w:val="20"/>
                <w:szCs w:val="20"/>
              </w:rPr>
              <w:t>-</w:t>
            </w:r>
            <w:r w:rsidRPr="00B178F0">
              <w:rPr>
                <w:rStyle w:val="21"/>
                <w:sz w:val="20"/>
                <w:szCs w:val="20"/>
              </w:rPr>
              <w:t>отсутствие разъяснений уполномоченного органа по вопросам проведения закупок</w:t>
            </w:r>
          </w:p>
        </w:tc>
        <w:tc>
          <w:tcPr>
            <w:tcW w:w="3402" w:type="dxa"/>
          </w:tcPr>
          <w:p w:rsidR="00D569F3" w:rsidRPr="00B178F0" w:rsidRDefault="00D569F3" w:rsidP="000C6C41">
            <w:pPr>
              <w:pStyle w:val="31"/>
              <w:shd w:val="clear" w:color="auto" w:fill="auto"/>
              <w:tabs>
                <w:tab w:val="left" w:pos="876"/>
              </w:tabs>
              <w:spacing w:before="0" w:after="0" w:line="240" w:lineRule="auto"/>
              <w:ind w:left="130" w:right="130"/>
              <w:rPr>
                <w:sz w:val="20"/>
                <w:szCs w:val="20"/>
              </w:rPr>
            </w:pPr>
            <w:r w:rsidRPr="00B178F0">
              <w:rPr>
                <w:rStyle w:val="21"/>
                <w:sz w:val="20"/>
                <w:szCs w:val="20"/>
              </w:rPr>
              <w:t xml:space="preserve">-повышение квалификации сотрудников, ответственных за проведение закупок; </w:t>
            </w:r>
            <w:proofErr w:type="gramStart"/>
            <w:r w:rsidRPr="00B178F0">
              <w:rPr>
                <w:rStyle w:val="21"/>
                <w:sz w:val="20"/>
                <w:szCs w:val="20"/>
              </w:rPr>
              <w:t>контроль за</w:t>
            </w:r>
            <w:proofErr w:type="gramEnd"/>
            <w:r w:rsidRPr="00B178F0">
              <w:rPr>
                <w:rStyle w:val="21"/>
                <w:sz w:val="20"/>
                <w:szCs w:val="20"/>
              </w:rPr>
              <w:t xml:space="preserve"> соблюдением требований законодательства в сфере закупок; п</w:t>
            </w:r>
            <w:r w:rsidRPr="00B178F0">
              <w:rPr>
                <w:sz w:val="20"/>
                <w:szCs w:val="20"/>
              </w:rPr>
              <w:t xml:space="preserve">роведение мониторинга и анализа практики применения антимонопольного законодательства, законодательства о закупках; проведение мероприятий по предотвращению конфликта интересов муниципальных служащих, в чьи должностные обязанности входят полномочия по проведению закупок товаров, работ, услуг; </w:t>
            </w:r>
            <w:proofErr w:type="gramStart"/>
            <w:r w:rsidRPr="00B178F0">
              <w:rPr>
                <w:sz w:val="20"/>
                <w:szCs w:val="20"/>
              </w:rPr>
              <w:t xml:space="preserve">ознакомление муниципальных служащих с нормативными правовыми </w:t>
            </w:r>
            <w:r w:rsidRPr="00B178F0">
              <w:rPr>
                <w:sz w:val="20"/>
                <w:szCs w:val="20"/>
              </w:rPr>
              <w:lastRenderedPageBreak/>
              <w:t xml:space="preserve">актами в сфере антимонопольного законодательства, в том числе об антимонопольном </w:t>
            </w:r>
            <w:proofErr w:type="spellStart"/>
            <w:r w:rsidRPr="00B178F0">
              <w:rPr>
                <w:sz w:val="20"/>
                <w:szCs w:val="20"/>
              </w:rPr>
              <w:t>комплаенсе</w:t>
            </w:r>
            <w:proofErr w:type="spellEnd"/>
            <w:r w:rsidRPr="00B178F0">
              <w:rPr>
                <w:sz w:val="20"/>
                <w:szCs w:val="20"/>
              </w:rPr>
              <w:t>; проведение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  <w:proofErr w:type="gramEnd"/>
          </w:p>
        </w:tc>
        <w:tc>
          <w:tcPr>
            <w:tcW w:w="1417" w:type="dxa"/>
          </w:tcPr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 присутствует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8F0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</w:p>
          <w:p w:rsidR="00D569F3" w:rsidRPr="00B178F0" w:rsidRDefault="00D569F3" w:rsidP="000C6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9F3" w:rsidRDefault="00D569F3" w:rsidP="00D569F3">
      <w:pPr>
        <w:pStyle w:val="31"/>
        <w:shd w:val="clear" w:color="auto" w:fill="auto"/>
        <w:spacing w:before="0" w:after="0" w:line="293" w:lineRule="exact"/>
        <w:ind w:left="680"/>
        <w:jc w:val="center"/>
        <w:rPr>
          <w:szCs w:val="28"/>
        </w:rPr>
      </w:pPr>
    </w:p>
    <w:p w:rsidR="00657576" w:rsidRDefault="00657576"/>
    <w:sectPr w:rsidR="00657576" w:rsidSect="00D569F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3"/>
    <w:rsid w:val="00081990"/>
    <w:rsid w:val="002E5EB8"/>
    <w:rsid w:val="00472BE6"/>
    <w:rsid w:val="004D3AC7"/>
    <w:rsid w:val="00657576"/>
    <w:rsid w:val="00682C48"/>
    <w:rsid w:val="007E77E9"/>
    <w:rsid w:val="00851A2B"/>
    <w:rsid w:val="00896467"/>
    <w:rsid w:val="00D42F1D"/>
    <w:rsid w:val="00D5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F3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BE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72BE6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2BE6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72BE6"/>
    <w:rPr>
      <w:b/>
      <w:bCs/>
    </w:rPr>
  </w:style>
  <w:style w:type="paragraph" w:styleId="a4">
    <w:name w:val="List Paragraph"/>
    <w:basedOn w:val="a"/>
    <w:uiPriority w:val="34"/>
    <w:qFormat/>
    <w:rsid w:val="00472BE6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Основной текст_"/>
    <w:basedOn w:val="a0"/>
    <w:link w:val="31"/>
    <w:rsid w:val="00D569F3"/>
    <w:rPr>
      <w:rFonts w:eastAsia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D569F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1">
    <w:name w:val="Основной текст2"/>
    <w:basedOn w:val="a5"/>
    <w:rsid w:val="00D569F3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D569F3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A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F3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BE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72BE6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2BE6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72BE6"/>
    <w:rPr>
      <w:b/>
      <w:bCs/>
    </w:rPr>
  </w:style>
  <w:style w:type="paragraph" w:styleId="a4">
    <w:name w:val="List Paragraph"/>
    <w:basedOn w:val="a"/>
    <w:uiPriority w:val="34"/>
    <w:qFormat/>
    <w:rsid w:val="00472BE6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Основной текст_"/>
    <w:basedOn w:val="a0"/>
    <w:link w:val="31"/>
    <w:rsid w:val="00D569F3"/>
    <w:rPr>
      <w:rFonts w:eastAsia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D569F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1">
    <w:name w:val="Основной текст2"/>
    <w:basedOn w:val="a5"/>
    <w:rsid w:val="00D569F3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D569F3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A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19E439C17DCB53EE0A292CC4DC8CE9AF52A9BFCDEB896FA0A84A369A13FF70F0C9997C15C926164628B9C760Z9U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404F-9033-45A3-8C63-1C1F3A31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2021-12-20T11:37:00Z</cp:lastPrinted>
  <dcterms:created xsi:type="dcterms:W3CDTF">2021-12-20T10:49:00Z</dcterms:created>
  <dcterms:modified xsi:type="dcterms:W3CDTF">2021-12-20T13:56:00Z</dcterms:modified>
</cp:coreProperties>
</file>